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0BF35" w14:textId="597DCFA4" w:rsidR="00A531F3" w:rsidRPr="00A531F3" w:rsidRDefault="00A531F3" w:rsidP="00A531F3">
      <w:pPr>
        <w:keepNext/>
        <w:keepLines/>
        <w:spacing w:before="240" w:after="0"/>
        <w:outlineLvl w:val="0"/>
        <w:rPr>
          <w:rFonts w:ascii="Arial" w:eastAsia="Times New Roman" w:hAnsi="Arial" w:cs="Times New Roman"/>
          <w:b/>
          <w:color w:val="236995"/>
          <w:sz w:val="32"/>
          <w:szCs w:val="32"/>
        </w:rPr>
      </w:pPr>
      <w:r>
        <w:rPr>
          <w:rFonts w:ascii="Arial" w:eastAsia="Times New Roman" w:hAnsi="Arial" w:cs="Times New Roman"/>
          <w:b/>
          <w:color w:val="236995"/>
          <w:sz w:val="32"/>
          <w:szCs w:val="32"/>
        </w:rPr>
        <w:t>Sum</w:t>
      </w:r>
      <w:r w:rsidRPr="00361C3C">
        <w:rPr>
          <w:rFonts w:ascii="Arial" w:eastAsia="Times New Roman" w:hAnsi="Arial" w:cs="Times New Roman"/>
          <w:b/>
          <w:color w:val="236995"/>
          <w:sz w:val="32"/>
          <w:szCs w:val="32"/>
        </w:rPr>
        <w:t>m</w:t>
      </w:r>
      <w:r>
        <w:rPr>
          <w:rFonts w:ascii="Arial" w:eastAsia="Times New Roman" w:hAnsi="Arial" w:cs="Times New Roman"/>
          <w:b/>
          <w:color w:val="236995"/>
          <w:sz w:val="32"/>
          <w:szCs w:val="32"/>
        </w:rPr>
        <w:t xml:space="preserve">ary of </w:t>
      </w:r>
      <w:r w:rsidR="00A94126">
        <w:rPr>
          <w:rFonts w:ascii="Arial" w:eastAsia="Times New Roman" w:hAnsi="Arial" w:cs="Times New Roman"/>
          <w:b/>
          <w:color w:val="236995"/>
          <w:sz w:val="32"/>
          <w:szCs w:val="32"/>
        </w:rPr>
        <w:t xml:space="preserve">the </w:t>
      </w:r>
      <w:r w:rsidR="00863503">
        <w:rPr>
          <w:rFonts w:ascii="Arial" w:eastAsia="Times New Roman" w:hAnsi="Arial" w:cs="Times New Roman"/>
          <w:b/>
          <w:color w:val="236995"/>
          <w:sz w:val="32"/>
          <w:szCs w:val="32"/>
        </w:rPr>
        <w:t>response to</w:t>
      </w:r>
      <w:r w:rsidR="00A94126">
        <w:rPr>
          <w:rFonts w:ascii="Arial" w:eastAsia="Times New Roman" w:hAnsi="Arial" w:cs="Times New Roman"/>
          <w:b/>
          <w:color w:val="236995"/>
          <w:sz w:val="32"/>
          <w:szCs w:val="32"/>
        </w:rPr>
        <w:t xml:space="preserve"> PSAA’s</w:t>
      </w:r>
      <w:r>
        <w:rPr>
          <w:rFonts w:ascii="Arial" w:eastAsia="Times New Roman" w:hAnsi="Arial" w:cs="Times New Roman"/>
          <w:b/>
          <w:color w:val="236995"/>
          <w:sz w:val="32"/>
          <w:szCs w:val="32"/>
        </w:rPr>
        <w:t xml:space="preserve"> consultation on a p</w:t>
      </w:r>
      <w:r w:rsidRPr="00A531F3">
        <w:rPr>
          <w:rFonts w:ascii="Arial" w:eastAsia="Times New Roman" w:hAnsi="Arial" w:cs="Times New Roman"/>
          <w:b/>
          <w:color w:val="236995"/>
          <w:sz w:val="32"/>
          <w:szCs w:val="32"/>
        </w:rPr>
        <w:t>roposed new system for fee variations</w:t>
      </w:r>
      <w:r w:rsidR="00514146">
        <w:rPr>
          <w:rFonts w:ascii="Arial" w:eastAsia="Times New Roman" w:hAnsi="Arial" w:cs="Times New Roman"/>
          <w:b/>
          <w:color w:val="236995"/>
          <w:sz w:val="32"/>
          <w:szCs w:val="32"/>
        </w:rPr>
        <w:t xml:space="preserve"> </w:t>
      </w:r>
    </w:p>
    <w:p w14:paraId="0AC24AE0" w14:textId="77777777" w:rsidR="00D258A8" w:rsidRDefault="00D258A8" w:rsidP="00450598">
      <w:pPr>
        <w:tabs>
          <w:tab w:val="num" w:pos="397"/>
        </w:tabs>
        <w:spacing w:after="0" w:line="300" w:lineRule="atLeast"/>
        <w:jc w:val="both"/>
        <w:rPr>
          <w:rFonts w:ascii="Arial" w:eastAsia="Times New Roman" w:hAnsi="Arial" w:cs="Times New Roman"/>
          <w:szCs w:val="24"/>
          <w:lang w:eastAsia="en-GB"/>
        </w:rPr>
      </w:pPr>
    </w:p>
    <w:p w14:paraId="60A5743A" w14:textId="56D047F2" w:rsidR="00EB6F0E" w:rsidRPr="00D258A8" w:rsidRDefault="00EB6F0E" w:rsidP="00EB6F0E">
      <w:pPr>
        <w:pStyle w:val="Bodytextnumbered"/>
        <w:numPr>
          <w:ilvl w:val="0"/>
          <w:numId w:val="16"/>
        </w:numPr>
        <w:spacing w:before="240"/>
        <w:jc w:val="both"/>
        <w:rPr>
          <w:b/>
          <w:bCs/>
          <w:color w:val="236995"/>
          <w:sz w:val="24"/>
          <w:szCs w:val="24"/>
        </w:rPr>
      </w:pPr>
      <w:r>
        <w:rPr>
          <w:b/>
          <w:bCs/>
          <w:color w:val="236995"/>
          <w:sz w:val="24"/>
          <w:szCs w:val="24"/>
        </w:rPr>
        <w:t>Executive summary</w:t>
      </w:r>
    </w:p>
    <w:p w14:paraId="64A7D322" w14:textId="77777777" w:rsidR="002502F3" w:rsidRDefault="00EB6F0E" w:rsidP="00EB6F0E">
      <w:pPr>
        <w:pStyle w:val="Bodytextnumbered"/>
        <w:spacing w:before="240"/>
        <w:jc w:val="both"/>
        <w:rPr>
          <w:rFonts w:eastAsia="Times New Roman" w:cs="Times New Roman"/>
          <w:szCs w:val="24"/>
        </w:rPr>
      </w:pPr>
      <w:r>
        <w:rPr>
          <w:rFonts w:eastAsia="Times New Roman" w:cs="Times New Roman"/>
          <w:szCs w:val="24"/>
        </w:rPr>
        <w:t>PSAA has</w:t>
      </w:r>
      <w:r w:rsidR="00344F20">
        <w:rPr>
          <w:rFonts w:eastAsia="Times New Roman" w:cs="Times New Roman"/>
          <w:szCs w:val="24"/>
        </w:rPr>
        <w:t xml:space="preserve"> </w:t>
      </w:r>
      <w:r>
        <w:rPr>
          <w:rFonts w:eastAsia="Times New Roman" w:cs="Times New Roman"/>
          <w:szCs w:val="24"/>
        </w:rPr>
        <w:t>consulted on changes to fee variations arrangements</w:t>
      </w:r>
      <w:r w:rsidR="00905D64">
        <w:rPr>
          <w:rFonts w:eastAsia="Times New Roman" w:cs="Times New Roman"/>
          <w:szCs w:val="24"/>
        </w:rPr>
        <w:t xml:space="preserve">, to introduce </w:t>
      </w:r>
      <w:r w:rsidR="002502F3">
        <w:rPr>
          <w:rFonts w:eastAsia="Times New Roman" w:cs="Times New Roman"/>
          <w:szCs w:val="24"/>
        </w:rPr>
        <w:t xml:space="preserve">a new approach for </w:t>
      </w:r>
      <w:r w:rsidR="00905D64" w:rsidRPr="00905D64">
        <w:rPr>
          <w:rFonts w:eastAsia="Times New Roman" w:cs="Times New Roman"/>
          <w:szCs w:val="24"/>
        </w:rPr>
        <w:t>national variations</w:t>
      </w:r>
      <w:r w:rsidR="002502F3">
        <w:rPr>
          <w:rFonts w:eastAsia="Times New Roman" w:cs="Times New Roman"/>
          <w:szCs w:val="24"/>
        </w:rPr>
        <w:t xml:space="preserve"> where changes in audit requirements re</w:t>
      </w:r>
      <w:r w:rsidR="00905D64" w:rsidRPr="00905D64">
        <w:rPr>
          <w:rFonts w:eastAsia="Times New Roman" w:cs="Times New Roman"/>
          <w:szCs w:val="24"/>
        </w:rPr>
        <w:t>late to the conduct of all or most audits</w:t>
      </w:r>
      <w:r w:rsidR="002502F3">
        <w:rPr>
          <w:rFonts w:eastAsia="Times New Roman" w:cs="Times New Roman"/>
          <w:szCs w:val="24"/>
        </w:rPr>
        <w:t xml:space="preserve"> and where </w:t>
      </w:r>
      <w:r w:rsidR="00905D64" w:rsidRPr="00905D64">
        <w:rPr>
          <w:rFonts w:eastAsia="Times New Roman" w:cs="Times New Roman"/>
          <w:szCs w:val="24"/>
        </w:rPr>
        <w:t>a standard cost can reasonably be estimated</w:t>
      </w:r>
      <w:r w:rsidR="002502F3">
        <w:rPr>
          <w:rFonts w:eastAsia="Times New Roman" w:cs="Times New Roman"/>
          <w:szCs w:val="24"/>
        </w:rPr>
        <w:t xml:space="preserve"> across groupings of bodies. The consultation also set out a proposed increase in the fee rates for additional work.</w:t>
      </w:r>
    </w:p>
    <w:p w14:paraId="7BF02E72" w14:textId="4E0E09E0" w:rsidR="003A2FEC" w:rsidRDefault="003A2FEC" w:rsidP="00EB6F0E">
      <w:pPr>
        <w:pStyle w:val="Bodytextnumbered"/>
        <w:spacing w:before="240"/>
        <w:jc w:val="both"/>
        <w:rPr>
          <w:rFonts w:eastAsia="Times New Roman" w:cs="Times New Roman"/>
          <w:szCs w:val="24"/>
        </w:rPr>
      </w:pPr>
      <w:r>
        <w:rPr>
          <w:rFonts w:eastAsia="Times New Roman" w:cs="Times New Roman"/>
          <w:szCs w:val="24"/>
        </w:rPr>
        <w:t xml:space="preserve">On the basis of the positive response to the consultation, PSAA </w:t>
      </w:r>
      <w:r w:rsidR="00514146">
        <w:rPr>
          <w:rFonts w:eastAsia="Times New Roman" w:cs="Times New Roman"/>
          <w:szCs w:val="24"/>
        </w:rPr>
        <w:t>has resolved to</w:t>
      </w:r>
      <w:r>
        <w:rPr>
          <w:rFonts w:eastAsia="Times New Roman" w:cs="Times New Roman"/>
          <w:szCs w:val="24"/>
        </w:rPr>
        <w:t xml:space="preserve"> implement the proposed changes:</w:t>
      </w:r>
    </w:p>
    <w:p w14:paraId="3DB7260C" w14:textId="77777777" w:rsidR="00514146" w:rsidRDefault="003A2FEC" w:rsidP="003A2FEC">
      <w:pPr>
        <w:pStyle w:val="Bodytextnumbered"/>
        <w:numPr>
          <w:ilvl w:val="0"/>
          <w:numId w:val="5"/>
        </w:numPr>
        <w:jc w:val="both"/>
      </w:pPr>
      <w:r>
        <w:t xml:space="preserve">a </w:t>
      </w:r>
      <w:r w:rsidRPr="003A2FEC">
        <w:t xml:space="preserve">programme of research </w:t>
      </w:r>
      <w:r>
        <w:t xml:space="preserve">is under way </w:t>
      </w:r>
      <w:r w:rsidRPr="003A2FEC">
        <w:t>to consider the likely impact on audit work and fees of some expected changes in audit requirements</w:t>
      </w:r>
      <w:r>
        <w:t xml:space="preserve">. We </w:t>
      </w:r>
      <w:r w:rsidRPr="003A2FEC">
        <w:t xml:space="preserve">will consult </w:t>
      </w:r>
      <w:r w:rsidR="0074614B">
        <w:t xml:space="preserve">opted-in bodies and other stakeholders </w:t>
      </w:r>
      <w:r w:rsidRPr="003A2FEC">
        <w:t>on proposals where we identify changes for which a national approach would be appropriate</w:t>
      </w:r>
      <w:r>
        <w:t xml:space="preserve">; </w:t>
      </w:r>
    </w:p>
    <w:p w14:paraId="279A58E1" w14:textId="48B41317" w:rsidR="00514146" w:rsidRDefault="00514146" w:rsidP="00514146">
      <w:pPr>
        <w:pStyle w:val="Bodytextnumbered"/>
        <w:numPr>
          <w:ilvl w:val="0"/>
          <w:numId w:val="5"/>
        </w:numPr>
        <w:jc w:val="both"/>
      </w:pPr>
      <w:r>
        <w:t>the new approach to national variations will apply for the first time in relation to audits of 2020/21 financial statements and value for money arrangements; and</w:t>
      </w:r>
    </w:p>
    <w:p w14:paraId="7A356EC0" w14:textId="4CF1063E" w:rsidR="002502F3" w:rsidRPr="003A2FEC" w:rsidRDefault="00514146" w:rsidP="00577582">
      <w:pPr>
        <w:pStyle w:val="Bodytextnumbered"/>
        <w:numPr>
          <w:ilvl w:val="0"/>
          <w:numId w:val="5"/>
        </w:numPr>
        <w:jc w:val="both"/>
      </w:pPr>
      <w:r>
        <w:t>all variations - both national and local - arising in relation to audits of 2020/21 financial statements and value for money arrangements will be calculated in accordance with a new rate card reflecting increased hourly rates for different categories of audit staff.</w:t>
      </w:r>
    </w:p>
    <w:p w14:paraId="73929BBC" w14:textId="330A67C4" w:rsidR="00D258A8" w:rsidRPr="00D258A8" w:rsidRDefault="00D258A8" w:rsidP="000A5657">
      <w:pPr>
        <w:pStyle w:val="Bodytextnumbered"/>
        <w:numPr>
          <w:ilvl w:val="0"/>
          <w:numId w:val="16"/>
        </w:numPr>
        <w:spacing w:before="240"/>
        <w:jc w:val="both"/>
        <w:rPr>
          <w:b/>
          <w:bCs/>
          <w:color w:val="236995"/>
          <w:sz w:val="24"/>
          <w:szCs w:val="24"/>
        </w:rPr>
      </w:pPr>
      <w:r>
        <w:rPr>
          <w:b/>
          <w:bCs/>
          <w:color w:val="236995"/>
          <w:sz w:val="24"/>
          <w:szCs w:val="24"/>
        </w:rPr>
        <w:t>Introduction</w:t>
      </w:r>
    </w:p>
    <w:p w14:paraId="4F4C9FFA" w14:textId="4034286A" w:rsidR="00E34983" w:rsidRDefault="00D258A8" w:rsidP="00637420">
      <w:pPr>
        <w:tabs>
          <w:tab w:val="num" w:pos="397"/>
        </w:tabs>
        <w:spacing w:before="140" w:after="0" w:line="300" w:lineRule="atLeast"/>
        <w:jc w:val="both"/>
        <w:rPr>
          <w:rFonts w:ascii="Arial" w:eastAsia="Times New Roman" w:hAnsi="Arial" w:cs="Times New Roman"/>
          <w:szCs w:val="24"/>
          <w:lang w:eastAsia="en-GB"/>
        </w:rPr>
      </w:pPr>
      <w:r>
        <w:rPr>
          <w:rFonts w:ascii="Arial" w:eastAsia="Times New Roman" w:hAnsi="Arial" w:cs="Times New Roman"/>
          <w:szCs w:val="24"/>
          <w:lang w:eastAsia="en-GB"/>
        </w:rPr>
        <w:t xml:space="preserve">In November 2020 PSAA consulted </w:t>
      </w:r>
      <w:r w:rsidR="006F7232">
        <w:rPr>
          <w:rFonts w:ascii="Arial" w:eastAsia="Times New Roman" w:hAnsi="Arial" w:cs="Times New Roman"/>
          <w:szCs w:val="24"/>
          <w:lang w:eastAsia="en-GB"/>
        </w:rPr>
        <w:t xml:space="preserve">opted-in bodies, audit firms, and </w:t>
      </w:r>
      <w:r w:rsidR="00465E98">
        <w:rPr>
          <w:rFonts w:ascii="Arial" w:eastAsia="Times New Roman" w:hAnsi="Arial" w:cs="Times New Roman"/>
          <w:szCs w:val="24"/>
          <w:lang w:eastAsia="en-GB"/>
        </w:rPr>
        <w:t>other</w:t>
      </w:r>
      <w:r w:rsidR="006F7232">
        <w:rPr>
          <w:rFonts w:ascii="Arial" w:eastAsia="Times New Roman" w:hAnsi="Arial" w:cs="Times New Roman"/>
          <w:szCs w:val="24"/>
          <w:lang w:eastAsia="en-GB"/>
        </w:rPr>
        <w:t xml:space="preserve"> stakeholders </w:t>
      </w:r>
      <w:r>
        <w:rPr>
          <w:rFonts w:ascii="Arial" w:eastAsia="Times New Roman" w:hAnsi="Arial" w:cs="Times New Roman"/>
          <w:szCs w:val="24"/>
          <w:lang w:eastAsia="en-GB"/>
        </w:rPr>
        <w:t xml:space="preserve">on </w:t>
      </w:r>
      <w:r w:rsidR="00637420">
        <w:rPr>
          <w:rFonts w:ascii="Arial" w:eastAsia="Times New Roman" w:hAnsi="Arial" w:cs="Times New Roman"/>
          <w:szCs w:val="24"/>
          <w:lang w:eastAsia="en-GB"/>
        </w:rPr>
        <w:t>changes to</w:t>
      </w:r>
      <w:r w:rsidR="006F7232">
        <w:rPr>
          <w:rFonts w:ascii="Arial" w:eastAsia="Times New Roman" w:hAnsi="Arial" w:cs="Times New Roman"/>
          <w:szCs w:val="24"/>
          <w:lang w:eastAsia="en-GB"/>
        </w:rPr>
        <w:t xml:space="preserve"> </w:t>
      </w:r>
      <w:r w:rsidR="00E222D0">
        <w:rPr>
          <w:rFonts w:ascii="Arial" w:eastAsia="Times New Roman" w:hAnsi="Arial" w:cs="Times New Roman"/>
          <w:szCs w:val="24"/>
          <w:lang w:eastAsia="en-GB"/>
        </w:rPr>
        <w:t xml:space="preserve">current </w:t>
      </w:r>
      <w:r w:rsidR="00637420">
        <w:rPr>
          <w:rFonts w:ascii="Arial" w:eastAsia="Times New Roman" w:hAnsi="Arial" w:cs="Times New Roman"/>
          <w:szCs w:val="24"/>
          <w:lang w:eastAsia="en-GB"/>
        </w:rPr>
        <w:t xml:space="preserve">fee variations </w:t>
      </w:r>
      <w:r w:rsidR="006F7232">
        <w:rPr>
          <w:rFonts w:ascii="Arial" w:eastAsia="Times New Roman" w:hAnsi="Arial" w:cs="Times New Roman"/>
          <w:szCs w:val="24"/>
          <w:lang w:eastAsia="en-GB"/>
        </w:rPr>
        <w:t>arrangements.</w:t>
      </w:r>
      <w:r w:rsidR="006F7232" w:rsidRPr="006F7232">
        <w:rPr>
          <w:rFonts w:ascii="Arial" w:eastAsia="Times New Roman" w:hAnsi="Arial" w:cs="Times New Roman"/>
          <w:sz w:val="23"/>
          <w:szCs w:val="23"/>
        </w:rPr>
        <w:t xml:space="preserve"> </w:t>
      </w:r>
      <w:r w:rsidR="00465E98" w:rsidRPr="00465E98">
        <w:rPr>
          <w:rFonts w:ascii="Arial" w:eastAsia="Times New Roman" w:hAnsi="Arial" w:cs="Times New Roman"/>
          <w:szCs w:val="24"/>
          <w:lang w:eastAsia="en-GB"/>
        </w:rPr>
        <w:t xml:space="preserve">The consultation </w:t>
      </w:r>
      <w:r w:rsidR="00465E98">
        <w:rPr>
          <w:rFonts w:ascii="Arial" w:eastAsia="Times New Roman" w:hAnsi="Arial" w:cs="Times New Roman"/>
          <w:szCs w:val="24"/>
          <w:lang w:eastAsia="en-GB"/>
        </w:rPr>
        <w:t>set out</w:t>
      </w:r>
      <w:r w:rsidR="00465E98" w:rsidRPr="00465E98">
        <w:rPr>
          <w:rFonts w:ascii="Arial" w:eastAsia="Times New Roman" w:hAnsi="Arial" w:cs="Times New Roman"/>
          <w:szCs w:val="24"/>
          <w:lang w:eastAsia="en-GB"/>
        </w:rPr>
        <w:t xml:space="preserve"> proposals for PSAA to take a national lead on additional fees for new audit requirements</w:t>
      </w:r>
      <w:r w:rsidR="00DD28DF">
        <w:rPr>
          <w:rFonts w:ascii="Arial" w:eastAsia="Times New Roman" w:hAnsi="Arial" w:cs="Times New Roman"/>
          <w:szCs w:val="24"/>
          <w:lang w:eastAsia="en-GB"/>
        </w:rPr>
        <w:t>,</w:t>
      </w:r>
      <w:r w:rsidR="00465E98" w:rsidRPr="00465E98">
        <w:rPr>
          <w:rFonts w:ascii="Arial" w:eastAsia="Times New Roman" w:hAnsi="Arial" w:cs="Times New Roman"/>
          <w:szCs w:val="24"/>
          <w:lang w:eastAsia="en-GB"/>
        </w:rPr>
        <w:t xml:space="preserve"> where these </w:t>
      </w:r>
      <w:r w:rsidR="00DD28DF">
        <w:rPr>
          <w:rFonts w:ascii="Arial" w:eastAsia="Times New Roman" w:hAnsi="Arial" w:cs="Times New Roman"/>
          <w:szCs w:val="24"/>
          <w:lang w:eastAsia="en-GB"/>
        </w:rPr>
        <w:t>clearly apply</w:t>
      </w:r>
      <w:r w:rsidR="00465E98" w:rsidRPr="00465E98">
        <w:rPr>
          <w:rFonts w:ascii="Arial" w:eastAsia="Times New Roman" w:hAnsi="Arial" w:cs="Times New Roman"/>
          <w:szCs w:val="24"/>
          <w:lang w:eastAsia="en-GB"/>
        </w:rPr>
        <w:t xml:space="preserve"> to all or most audited bodies</w:t>
      </w:r>
      <w:r w:rsidR="00E34983">
        <w:rPr>
          <w:rFonts w:ascii="Arial" w:eastAsia="Times New Roman" w:hAnsi="Arial" w:cs="Times New Roman"/>
          <w:szCs w:val="24"/>
          <w:lang w:eastAsia="en-GB"/>
        </w:rPr>
        <w:t xml:space="preserve">. In consulting on these proposals, PSAA was responding to concerns raised by many contributors </w:t>
      </w:r>
      <w:r w:rsidR="005021CD">
        <w:rPr>
          <w:rFonts w:ascii="Arial" w:eastAsia="Times New Roman" w:hAnsi="Arial" w:cs="Times New Roman"/>
          <w:szCs w:val="24"/>
          <w:lang w:eastAsia="en-GB"/>
        </w:rPr>
        <w:t>about</w:t>
      </w:r>
      <w:r w:rsidR="00E34983">
        <w:rPr>
          <w:rFonts w:ascii="Arial" w:eastAsia="Times New Roman" w:hAnsi="Arial" w:cs="Times New Roman"/>
          <w:szCs w:val="24"/>
          <w:lang w:eastAsia="en-GB"/>
        </w:rPr>
        <w:t xml:space="preserve"> the </w:t>
      </w:r>
      <w:r w:rsidR="00DD28DF">
        <w:rPr>
          <w:rFonts w:ascii="Arial" w:eastAsia="Times New Roman" w:hAnsi="Arial" w:cs="Times New Roman"/>
          <w:szCs w:val="24"/>
          <w:lang w:eastAsia="en-GB"/>
        </w:rPr>
        <w:t xml:space="preserve">impact of increasing numbers of fee variations for additional audit requirements. </w:t>
      </w:r>
    </w:p>
    <w:p w14:paraId="02C18DFF" w14:textId="1023CBB8" w:rsidR="00384B12" w:rsidRDefault="00A15A7B" w:rsidP="00384B12">
      <w:pPr>
        <w:tabs>
          <w:tab w:val="num" w:pos="397"/>
        </w:tabs>
        <w:spacing w:before="140" w:after="0" w:line="300" w:lineRule="atLeast"/>
        <w:jc w:val="both"/>
        <w:rPr>
          <w:rFonts w:ascii="Arial" w:eastAsia="Times New Roman" w:hAnsi="Arial" w:cs="Times New Roman"/>
          <w:szCs w:val="24"/>
          <w:lang w:eastAsia="en-GB"/>
        </w:rPr>
      </w:pPr>
      <w:r w:rsidRPr="00384B12">
        <w:rPr>
          <w:rFonts w:ascii="Arial" w:eastAsia="Times New Roman" w:hAnsi="Arial" w:cs="Times New Roman"/>
          <w:szCs w:val="24"/>
          <w:lang w:eastAsia="en-GB"/>
        </w:rPr>
        <w:t xml:space="preserve">The consultation took place </w:t>
      </w:r>
      <w:r w:rsidR="00450598" w:rsidRPr="00450598">
        <w:rPr>
          <w:rFonts w:ascii="Arial" w:eastAsia="Times New Roman" w:hAnsi="Arial" w:cs="Times New Roman"/>
          <w:szCs w:val="24"/>
          <w:lang w:eastAsia="en-GB"/>
        </w:rPr>
        <w:t>in the context of</w:t>
      </w:r>
      <w:r w:rsidR="002460EB">
        <w:rPr>
          <w:rFonts w:ascii="Arial" w:eastAsia="Times New Roman" w:hAnsi="Arial" w:cs="Times New Roman"/>
          <w:szCs w:val="24"/>
          <w:lang w:eastAsia="en-GB"/>
        </w:rPr>
        <w:t xml:space="preserve"> the</w:t>
      </w:r>
      <w:r w:rsidR="00450598" w:rsidRPr="00450598">
        <w:rPr>
          <w:rFonts w:ascii="Arial" w:eastAsia="Times New Roman" w:hAnsi="Arial" w:cs="Times New Roman"/>
          <w:szCs w:val="24"/>
          <w:lang w:eastAsia="en-GB"/>
        </w:rPr>
        <w:t xml:space="preserve"> significant </w:t>
      </w:r>
      <w:r w:rsidR="002460EB">
        <w:rPr>
          <w:rFonts w:ascii="Arial" w:eastAsia="Times New Roman" w:hAnsi="Arial" w:cs="Times New Roman"/>
          <w:szCs w:val="24"/>
          <w:lang w:eastAsia="en-GB"/>
        </w:rPr>
        <w:t xml:space="preserve">current </w:t>
      </w:r>
      <w:r w:rsidR="00450598" w:rsidRPr="00450598">
        <w:rPr>
          <w:rFonts w:ascii="Arial" w:eastAsia="Times New Roman" w:hAnsi="Arial" w:cs="Times New Roman"/>
          <w:szCs w:val="24"/>
          <w:lang w:eastAsia="en-GB"/>
        </w:rPr>
        <w:t xml:space="preserve">tensions and pressures </w:t>
      </w:r>
      <w:r w:rsidR="00450598">
        <w:rPr>
          <w:rFonts w:ascii="Arial" w:eastAsia="Times New Roman" w:hAnsi="Arial" w:cs="Times New Roman"/>
          <w:szCs w:val="24"/>
          <w:lang w:eastAsia="en-GB"/>
        </w:rPr>
        <w:t>in</w:t>
      </w:r>
      <w:r w:rsidR="00450598" w:rsidRPr="00450598">
        <w:rPr>
          <w:rFonts w:ascii="Arial" w:eastAsia="Times New Roman" w:hAnsi="Arial" w:cs="Times New Roman"/>
          <w:szCs w:val="24"/>
          <w:lang w:eastAsia="en-GB"/>
        </w:rPr>
        <w:t xml:space="preserve"> the audit market</w:t>
      </w:r>
      <w:r w:rsidR="002460EB">
        <w:rPr>
          <w:rFonts w:ascii="Arial" w:eastAsia="Times New Roman" w:hAnsi="Arial" w:cs="Times New Roman"/>
          <w:szCs w:val="24"/>
          <w:lang w:eastAsia="en-GB"/>
        </w:rPr>
        <w:t>,</w:t>
      </w:r>
      <w:r w:rsidR="00450598">
        <w:rPr>
          <w:rFonts w:ascii="Arial" w:eastAsia="Times New Roman" w:hAnsi="Arial" w:cs="Times New Roman"/>
          <w:szCs w:val="24"/>
          <w:lang w:eastAsia="en-GB"/>
        </w:rPr>
        <w:t xml:space="preserve"> and of</w:t>
      </w:r>
      <w:r w:rsidR="00450598" w:rsidRPr="00384B12">
        <w:rPr>
          <w:rFonts w:ascii="Arial" w:eastAsia="Times New Roman" w:hAnsi="Arial" w:cs="Times New Roman"/>
          <w:szCs w:val="24"/>
          <w:lang w:eastAsia="en-GB"/>
        </w:rPr>
        <w:t xml:space="preserve"> </w:t>
      </w:r>
      <w:r w:rsidRPr="00384B12">
        <w:rPr>
          <w:rFonts w:ascii="Arial" w:eastAsia="Times New Roman" w:hAnsi="Arial" w:cs="Times New Roman"/>
          <w:szCs w:val="24"/>
          <w:lang w:eastAsia="en-GB"/>
        </w:rPr>
        <w:t xml:space="preserve">a series of </w:t>
      </w:r>
      <w:r w:rsidR="002460EB">
        <w:rPr>
          <w:rFonts w:ascii="Arial" w:eastAsia="Times New Roman" w:hAnsi="Arial" w:cs="Times New Roman"/>
          <w:szCs w:val="24"/>
          <w:lang w:eastAsia="en-GB"/>
        </w:rPr>
        <w:t xml:space="preserve">recent </w:t>
      </w:r>
      <w:r w:rsidRPr="00384B12">
        <w:rPr>
          <w:rFonts w:ascii="Arial" w:eastAsia="Times New Roman" w:hAnsi="Arial" w:cs="Times New Roman"/>
          <w:szCs w:val="24"/>
          <w:lang w:eastAsia="en-GB"/>
        </w:rPr>
        <w:t xml:space="preserve">reviews commissioned by </w:t>
      </w:r>
      <w:r w:rsidR="00450598">
        <w:rPr>
          <w:rFonts w:ascii="Arial" w:eastAsia="Times New Roman" w:hAnsi="Arial" w:cs="Times New Roman"/>
          <w:szCs w:val="24"/>
          <w:lang w:eastAsia="en-GB"/>
        </w:rPr>
        <w:t xml:space="preserve">government </w:t>
      </w:r>
      <w:r w:rsidR="007A68FA">
        <w:rPr>
          <w:rFonts w:ascii="Arial" w:eastAsia="Times New Roman" w:hAnsi="Arial" w:cs="Times New Roman"/>
          <w:szCs w:val="24"/>
          <w:lang w:eastAsia="en-GB"/>
        </w:rPr>
        <w:t xml:space="preserve">(the Kingman review of </w:t>
      </w:r>
      <w:r w:rsidRPr="00384B12">
        <w:rPr>
          <w:rFonts w:ascii="Arial" w:eastAsia="Times New Roman" w:hAnsi="Arial" w:cs="Times New Roman"/>
          <w:szCs w:val="24"/>
          <w:lang w:eastAsia="en-GB"/>
        </w:rPr>
        <w:t>audit regulation</w:t>
      </w:r>
      <w:r w:rsidR="007A68FA">
        <w:rPr>
          <w:rFonts w:ascii="Arial" w:eastAsia="Times New Roman" w:hAnsi="Arial" w:cs="Times New Roman"/>
          <w:szCs w:val="24"/>
          <w:lang w:eastAsia="en-GB"/>
        </w:rPr>
        <w:t>, the C</w:t>
      </w:r>
      <w:r w:rsidR="00384B12" w:rsidRPr="00384B12">
        <w:rPr>
          <w:rFonts w:ascii="Arial" w:eastAsia="Times New Roman" w:hAnsi="Arial" w:cs="Times New Roman"/>
          <w:szCs w:val="24"/>
          <w:lang w:eastAsia="en-GB"/>
        </w:rPr>
        <w:t xml:space="preserve">ompetition </w:t>
      </w:r>
      <w:r w:rsidR="007A68FA">
        <w:rPr>
          <w:rFonts w:ascii="Arial" w:eastAsia="Times New Roman" w:hAnsi="Arial" w:cs="Times New Roman"/>
          <w:szCs w:val="24"/>
          <w:lang w:eastAsia="en-GB"/>
        </w:rPr>
        <w:t>and</w:t>
      </w:r>
      <w:r w:rsidR="00384B12" w:rsidRPr="00384B12">
        <w:rPr>
          <w:rFonts w:ascii="Arial" w:eastAsia="Times New Roman" w:hAnsi="Arial" w:cs="Times New Roman"/>
          <w:szCs w:val="24"/>
          <w:lang w:eastAsia="en-GB"/>
        </w:rPr>
        <w:t xml:space="preserve"> Markets Authority </w:t>
      </w:r>
      <w:r w:rsidR="007A68FA">
        <w:rPr>
          <w:rFonts w:ascii="Arial" w:eastAsia="Times New Roman" w:hAnsi="Arial" w:cs="Times New Roman"/>
          <w:szCs w:val="24"/>
          <w:lang w:eastAsia="en-GB"/>
        </w:rPr>
        <w:t>review of the audit market, the Bryd</w:t>
      </w:r>
      <w:r w:rsidR="00514146">
        <w:rPr>
          <w:rFonts w:ascii="Arial" w:eastAsia="Times New Roman" w:hAnsi="Arial" w:cs="Times New Roman"/>
          <w:szCs w:val="24"/>
          <w:lang w:eastAsia="en-GB"/>
        </w:rPr>
        <w:t>o</w:t>
      </w:r>
      <w:r w:rsidR="007A68FA">
        <w:rPr>
          <w:rFonts w:ascii="Arial" w:eastAsia="Times New Roman" w:hAnsi="Arial" w:cs="Times New Roman"/>
          <w:szCs w:val="24"/>
          <w:lang w:eastAsia="en-GB"/>
        </w:rPr>
        <w:t xml:space="preserve">n review of </w:t>
      </w:r>
      <w:r w:rsidR="00384B12" w:rsidRPr="00384B12">
        <w:rPr>
          <w:rFonts w:ascii="Arial" w:eastAsia="Times New Roman" w:hAnsi="Arial" w:cs="Times New Roman"/>
          <w:szCs w:val="24"/>
          <w:lang w:eastAsia="en-GB"/>
        </w:rPr>
        <w:t>the quality and effectiveness of audit</w:t>
      </w:r>
      <w:r w:rsidR="007A68FA">
        <w:rPr>
          <w:rFonts w:ascii="Arial" w:eastAsia="Times New Roman" w:hAnsi="Arial" w:cs="Times New Roman"/>
          <w:szCs w:val="24"/>
          <w:lang w:eastAsia="en-GB"/>
        </w:rPr>
        <w:t xml:space="preserve">, and the Redmond review of </w:t>
      </w:r>
      <w:r w:rsidR="00384B12" w:rsidRPr="00384B12">
        <w:rPr>
          <w:rFonts w:ascii="Arial" w:eastAsia="Times New Roman" w:hAnsi="Arial" w:cs="Times New Roman"/>
          <w:szCs w:val="24"/>
          <w:lang w:eastAsia="en-GB"/>
        </w:rPr>
        <w:t>local audit and financial reporting</w:t>
      </w:r>
      <w:r w:rsidR="007A68FA">
        <w:rPr>
          <w:rFonts w:ascii="Arial" w:eastAsia="Times New Roman" w:hAnsi="Arial" w:cs="Times New Roman"/>
          <w:szCs w:val="24"/>
          <w:lang w:eastAsia="en-GB"/>
        </w:rPr>
        <w:t xml:space="preserve">). </w:t>
      </w:r>
      <w:r w:rsidR="00384B12" w:rsidRPr="00384B12">
        <w:rPr>
          <w:rFonts w:ascii="Arial" w:eastAsia="Times New Roman" w:hAnsi="Arial" w:cs="Times New Roman"/>
          <w:szCs w:val="24"/>
          <w:lang w:eastAsia="en-GB"/>
        </w:rPr>
        <w:t xml:space="preserve"> </w:t>
      </w:r>
      <w:r w:rsidR="00863503">
        <w:rPr>
          <w:rFonts w:ascii="Arial" w:eastAsia="Times New Roman" w:hAnsi="Arial" w:cs="Times New Roman"/>
          <w:szCs w:val="24"/>
          <w:lang w:eastAsia="en-GB"/>
        </w:rPr>
        <w:t xml:space="preserve">MHCLG published the Government’s </w:t>
      </w:r>
      <w:r w:rsidR="007A68FA">
        <w:rPr>
          <w:rFonts w:ascii="Arial" w:eastAsia="Times New Roman" w:hAnsi="Arial" w:cs="Times New Roman"/>
          <w:szCs w:val="24"/>
          <w:lang w:eastAsia="en-GB"/>
        </w:rPr>
        <w:t xml:space="preserve">initial </w:t>
      </w:r>
      <w:r w:rsidR="00863503">
        <w:rPr>
          <w:rFonts w:ascii="Arial" w:eastAsia="Times New Roman" w:hAnsi="Arial" w:cs="Times New Roman"/>
          <w:szCs w:val="24"/>
          <w:lang w:eastAsia="en-GB"/>
        </w:rPr>
        <w:t xml:space="preserve">policy response to the </w:t>
      </w:r>
      <w:r w:rsidR="00384B12">
        <w:rPr>
          <w:rFonts w:ascii="Arial" w:eastAsia="Times New Roman" w:hAnsi="Arial" w:cs="Times New Roman"/>
          <w:szCs w:val="24"/>
          <w:lang w:eastAsia="en-GB"/>
        </w:rPr>
        <w:t>Redmond review</w:t>
      </w:r>
      <w:r w:rsidR="007A68FA">
        <w:rPr>
          <w:rFonts w:ascii="Arial" w:eastAsia="Times New Roman" w:hAnsi="Arial" w:cs="Times New Roman"/>
          <w:szCs w:val="24"/>
          <w:lang w:eastAsia="en-GB"/>
        </w:rPr>
        <w:t xml:space="preserve"> in December 2020, after our consultation, </w:t>
      </w:r>
      <w:r w:rsidR="00384B12">
        <w:rPr>
          <w:rFonts w:ascii="Arial" w:eastAsia="Times New Roman" w:hAnsi="Arial" w:cs="Times New Roman"/>
          <w:szCs w:val="24"/>
          <w:lang w:eastAsia="en-GB"/>
        </w:rPr>
        <w:t xml:space="preserve">and has committed to </w:t>
      </w:r>
      <w:r w:rsidR="002460EB">
        <w:rPr>
          <w:rFonts w:ascii="Arial" w:eastAsia="Times New Roman" w:hAnsi="Arial" w:cs="Times New Roman"/>
          <w:szCs w:val="24"/>
          <w:lang w:eastAsia="en-GB"/>
        </w:rPr>
        <w:t>providing</w:t>
      </w:r>
      <w:r w:rsidR="00384B12">
        <w:rPr>
          <w:rFonts w:ascii="Arial" w:eastAsia="Times New Roman" w:hAnsi="Arial" w:cs="Times New Roman"/>
          <w:szCs w:val="24"/>
          <w:lang w:eastAsia="en-GB"/>
        </w:rPr>
        <w:t xml:space="preserve"> </w:t>
      </w:r>
      <w:r w:rsidR="007A68FA">
        <w:rPr>
          <w:rFonts w:ascii="Arial" w:eastAsia="Times New Roman" w:hAnsi="Arial" w:cs="Times New Roman"/>
          <w:szCs w:val="24"/>
          <w:lang w:eastAsia="en-GB"/>
        </w:rPr>
        <w:t xml:space="preserve">more details on </w:t>
      </w:r>
      <w:r w:rsidR="00863503">
        <w:rPr>
          <w:rFonts w:ascii="Arial" w:eastAsia="Times New Roman" w:hAnsi="Arial" w:cs="Times New Roman"/>
          <w:szCs w:val="24"/>
          <w:lang w:eastAsia="en-GB"/>
        </w:rPr>
        <w:t xml:space="preserve">reshaping local audit </w:t>
      </w:r>
      <w:r w:rsidR="00384B12">
        <w:rPr>
          <w:rFonts w:ascii="Arial" w:eastAsia="Times New Roman" w:hAnsi="Arial" w:cs="Times New Roman"/>
          <w:szCs w:val="24"/>
          <w:lang w:eastAsia="en-GB"/>
        </w:rPr>
        <w:t xml:space="preserve">in </w:t>
      </w:r>
      <w:r w:rsidR="00344F20">
        <w:rPr>
          <w:rFonts w:ascii="Arial" w:eastAsia="Times New Roman" w:hAnsi="Arial" w:cs="Times New Roman"/>
          <w:szCs w:val="24"/>
          <w:lang w:eastAsia="en-GB"/>
        </w:rPr>
        <w:t>S</w:t>
      </w:r>
      <w:r w:rsidR="00384B12">
        <w:rPr>
          <w:rFonts w:ascii="Arial" w:eastAsia="Times New Roman" w:hAnsi="Arial" w:cs="Times New Roman"/>
          <w:szCs w:val="24"/>
          <w:lang w:eastAsia="en-GB"/>
        </w:rPr>
        <w:t>pring 2021.</w:t>
      </w:r>
    </w:p>
    <w:p w14:paraId="2D655752" w14:textId="4C0DF891" w:rsidR="002460EB" w:rsidRPr="009D5A66" w:rsidRDefault="002460EB" w:rsidP="000A5657">
      <w:pPr>
        <w:pStyle w:val="Bodytextnumbered"/>
        <w:numPr>
          <w:ilvl w:val="0"/>
          <w:numId w:val="16"/>
        </w:numPr>
        <w:spacing w:before="240"/>
        <w:jc w:val="both"/>
        <w:rPr>
          <w:b/>
          <w:bCs/>
          <w:color w:val="236995"/>
          <w:sz w:val="24"/>
          <w:szCs w:val="24"/>
        </w:rPr>
      </w:pPr>
      <w:r>
        <w:rPr>
          <w:b/>
          <w:bCs/>
          <w:color w:val="236995"/>
          <w:sz w:val="24"/>
          <w:szCs w:val="24"/>
        </w:rPr>
        <w:t xml:space="preserve">PSAA’s </w:t>
      </w:r>
      <w:r w:rsidR="004B3E20">
        <w:rPr>
          <w:b/>
          <w:bCs/>
          <w:color w:val="236995"/>
          <w:sz w:val="24"/>
          <w:szCs w:val="24"/>
        </w:rPr>
        <w:t>role in local audit</w:t>
      </w:r>
    </w:p>
    <w:p w14:paraId="6478413C" w14:textId="5ABD621D" w:rsidR="002460EB" w:rsidRDefault="002460EB" w:rsidP="002460EB">
      <w:pPr>
        <w:tabs>
          <w:tab w:val="num" w:pos="397"/>
        </w:tabs>
        <w:spacing w:before="140" w:after="0" w:line="300" w:lineRule="atLeast"/>
        <w:jc w:val="both"/>
        <w:rPr>
          <w:rFonts w:ascii="Arial" w:eastAsia="Times New Roman" w:hAnsi="Arial" w:cs="Times New Roman"/>
          <w:szCs w:val="24"/>
          <w:lang w:eastAsia="en-GB"/>
        </w:rPr>
      </w:pPr>
      <w:r>
        <w:rPr>
          <w:rFonts w:ascii="Arial" w:eastAsia="Times New Roman" w:hAnsi="Arial" w:cs="Times New Roman"/>
          <w:szCs w:val="24"/>
          <w:lang w:eastAsia="en-GB"/>
        </w:rPr>
        <w:t xml:space="preserve">In the local audit framework </w:t>
      </w:r>
      <w:r w:rsidRPr="00D574E3">
        <w:rPr>
          <w:rFonts w:ascii="Arial" w:eastAsia="Times New Roman" w:hAnsi="Arial" w:cs="Times New Roman"/>
          <w:szCs w:val="24"/>
          <w:lang w:eastAsia="en-GB"/>
        </w:rPr>
        <w:t>PSAA</w:t>
      </w:r>
      <w:r>
        <w:rPr>
          <w:rFonts w:ascii="Arial" w:eastAsia="Times New Roman" w:hAnsi="Arial" w:cs="Times New Roman"/>
          <w:szCs w:val="24"/>
          <w:lang w:eastAsia="en-GB"/>
        </w:rPr>
        <w:t xml:space="preserve">’s responsibilities as the appointing person are </w:t>
      </w:r>
      <w:r w:rsidR="002111B1">
        <w:rPr>
          <w:rFonts w:ascii="Arial" w:eastAsia="Times New Roman" w:hAnsi="Arial" w:cs="Times New Roman"/>
          <w:szCs w:val="24"/>
          <w:lang w:eastAsia="en-GB"/>
        </w:rPr>
        <w:t>specifically</w:t>
      </w:r>
      <w:r w:rsidR="00596B4F">
        <w:rPr>
          <w:rFonts w:ascii="Arial" w:eastAsia="Times New Roman" w:hAnsi="Arial" w:cs="Times New Roman"/>
          <w:szCs w:val="24"/>
          <w:lang w:eastAsia="en-GB"/>
        </w:rPr>
        <w:t xml:space="preserve"> </w:t>
      </w:r>
      <w:r>
        <w:rPr>
          <w:rFonts w:ascii="Arial" w:eastAsia="Times New Roman" w:hAnsi="Arial" w:cs="Times New Roman"/>
          <w:szCs w:val="24"/>
          <w:lang w:eastAsia="en-GB"/>
        </w:rPr>
        <w:t>to appoint auditors to opted-in bodies, set scales of fees</w:t>
      </w:r>
      <w:r w:rsidR="002111B1">
        <w:rPr>
          <w:rFonts w:ascii="Arial" w:eastAsia="Times New Roman" w:hAnsi="Arial" w:cs="Times New Roman"/>
          <w:szCs w:val="24"/>
          <w:lang w:eastAsia="en-GB"/>
        </w:rPr>
        <w:t>,</w:t>
      </w:r>
      <w:r>
        <w:rPr>
          <w:rFonts w:ascii="Arial" w:eastAsia="Times New Roman" w:hAnsi="Arial" w:cs="Times New Roman"/>
          <w:szCs w:val="24"/>
          <w:lang w:eastAsia="en-GB"/>
        </w:rPr>
        <w:t xml:space="preserve"> and manag</w:t>
      </w:r>
      <w:r w:rsidR="009B3F8E">
        <w:rPr>
          <w:rFonts w:ascii="Arial" w:eastAsia="Times New Roman" w:hAnsi="Arial" w:cs="Times New Roman"/>
          <w:szCs w:val="24"/>
          <w:lang w:eastAsia="en-GB"/>
        </w:rPr>
        <w:t>e</w:t>
      </w:r>
      <w:r>
        <w:rPr>
          <w:rFonts w:ascii="Arial" w:eastAsia="Times New Roman" w:hAnsi="Arial" w:cs="Times New Roman"/>
          <w:szCs w:val="24"/>
          <w:lang w:eastAsia="en-GB"/>
        </w:rPr>
        <w:t xml:space="preserve"> contracts with audit firms for </w:t>
      </w:r>
      <w:r w:rsidRPr="00D574E3">
        <w:rPr>
          <w:rFonts w:ascii="Arial" w:eastAsia="Times New Roman" w:hAnsi="Arial" w:cs="Times New Roman"/>
          <w:szCs w:val="24"/>
          <w:lang w:eastAsia="en-GB"/>
        </w:rPr>
        <w:t>delivery of external audit services to opted-in bodies</w:t>
      </w:r>
      <w:r>
        <w:rPr>
          <w:rFonts w:ascii="Arial" w:eastAsia="Times New Roman" w:hAnsi="Arial" w:cs="Times New Roman"/>
          <w:szCs w:val="24"/>
          <w:lang w:eastAsia="en-GB"/>
        </w:rPr>
        <w:t xml:space="preserve">. </w:t>
      </w:r>
    </w:p>
    <w:p w14:paraId="618A32DB" w14:textId="19F9B69C" w:rsidR="002460EB" w:rsidRDefault="002460EB" w:rsidP="002111B1">
      <w:pPr>
        <w:pStyle w:val="Bodytextnumbered"/>
        <w:pBdr>
          <w:top w:val="none" w:sz="0" w:space="0" w:color="auto"/>
          <w:left w:val="none" w:sz="0" w:space="0" w:color="auto"/>
          <w:bottom w:val="none" w:sz="0" w:space="0" w:color="auto"/>
          <w:right w:val="none" w:sz="0" w:space="0" w:color="auto"/>
          <w:between w:val="none" w:sz="0" w:space="0" w:color="auto"/>
          <w:bar w:val="none" w:sz="0" w:color="auto"/>
        </w:pBdr>
        <w:tabs>
          <w:tab w:val="clear" w:pos="397"/>
        </w:tabs>
        <w:jc w:val="both"/>
      </w:pPr>
      <w:r>
        <w:t xml:space="preserve">The National Audit Office </w:t>
      </w:r>
      <w:r w:rsidR="002111B1">
        <w:t>sets the scope of auditors</w:t>
      </w:r>
      <w:r w:rsidR="00110A20">
        <w:t>’</w:t>
      </w:r>
      <w:r w:rsidR="002111B1">
        <w:t xml:space="preserve"> work in the Code of Audit Practice</w:t>
      </w:r>
      <w:r w:rsidR="003D6A93">
        <w:t>, published on a five-yearly cycle</w:t>
      </w:r>
      <w:r w:rsidR="002111B1">
        <w:t xml:space="preserve">. </w:t>
      </w:r>
      <w:r>
        <w:t>The Financial Re</w:t>
      </w:r>
      <w:r w:rsidR="00596B4F">
        <w:t>p</w:t>
      </w:r>
      <w:r>
        <w:t>orting Council determines regulatory requirements</w:t>
      </w:r>
      <w:r w:rsidR="003D6A93">
        <w:t>, often as a result of its annual audit quality reviews once an audit year is completed</w:t>
      </w:r>
      <w:r w:rsidR="002111B1">
        <w:t xml:space="preserve">. CIPFA/LASAAC prescribes the financial reporting requirements applicable to local government bodies. </w:t>
      </w:r>
      <w:r w:rsidR="00596B4F">
        <w:t>All t</w:t>
      </w:r>
      <w:r w:rsidR="00110A20">
        <w:t xml:space="preserve">hese requirements shape the work </w:t>
      </w:r>
      <w:r w:rsidR="003D6A93">
        <w:t xml:space="preserve">auditors undertake </w:t>
      </w:r>
      <w:r w:rsidR="00110A20">
        <w:t xml:space="preserve">and </w:t>
      </w:r>
      <w:r w:rsidR="00596B4F">
        <w:t xml:space="preserve">have a bearing on </w:t>
      </w:r>
      <w:r w:rsidR="003D6A93">
        <w:t>the</w:t>
      </w:r>
      <w:r w:rsidR="00596B4F">
        <w:t xml:space="preserve"> actual</w:t>
      </w:r>
      <w:r w:rsidR="003D6A93">
        <w:t xml:space="preserve"> </w:t>
      </w:r>
      <w:r w:rsidR="00110A20">
        <w:t>fees required.</w:t>
      </w:r>
    </w:p>
    <w:p w14:paraId="41C89902" w14:textId="6357F5DC" w:rsidR="005021CD" w:rsidRPr="00D258A8" w:rsidRDefault="005021CD" w:rsidP="000A5657">
      <w:pPr>
        <w:pStyle w:val="Bodytextnumbered"/>
        <w:numPr>
          <w:ilvl w:val="0"/>
          <w:numId w:val="16"/>
        </w:numPr>
        <w:spacing w:before="240"/>
        <w:jc w:val="both"/>
        <w:rPr>
          <w:b/>
          <w:bCs/>
          <w:color w:val="236995"/>
          <w:sz w:val="24"/>
          <w:szCs w:val="24"/>
        </w:rPr>
      </w:pPr>
      <w:r>
        <w:rPr>
          <w:b/>
          <w:bCs/>
          <w:color w:val="236995"/>
          <w:sz w:val="24"/>
          <w:szCs w:val="24"/>
        </w:rPr>
        <w:lastRenderedPageBreak/>
        <w:t xml:space="preserve">The </w:t>
      </w:r>
      <w:r w:rsidR="00450598">
        <w:rPr>
          <w:b/>
          <w:bCs/>
          <w:color w:val="236995"/>
          <w:sz w:val="24"/>
          <w:szCs w:val="24"/>
        </w:rPr>
        <w:t>rationale</w:t>
      </w:r>
      <w:r>
        <w:rPr>
          <w:b/>
          <w:bCs/>
          <w:color w:val="236995"/>
          <w:sz w:val="24"/>
          <w:szCs w:val="24"/>
        </w:rPr>
        <w:t xml:space="preserve"> for changes to fee variations arrangements</w:t>
      </w:r>
    </w:p>
    <w:p w14:paraId="729E5EE0" w14:textId="3F71C0A3" w:rsidR="005021CD" w:rsidRDefault="00637420" w:rsidP="00637420">
      <w:pPr>
        <w:tabs>
          <w:tab w:val="num" w:pos="397"/>
        </w:tabs>
        <w:spacing w:before="140" w:after="0" w:line="300" w:lineRule="atLeast"/>
        <w:jc w:val="both"/>
        <w:rPr>
          <w:rFonts w:ascii="Arial" w:hAnsi="Arial" w:cs="Arial"/>
        </w:rPr>
      </w:pPr>
      <w:r>
        <w:rPr>
          <w:rFonts w:ascii="Arial" w:hAnsi="Arial" w:cs="Arial"/>
        </w:rPr>
        <w:t>A</w:t>
      </w:r>
      <w:r w:rsidRPr="00D439BD">
        <w:rPr>
          <w:rFonts w:ascii="Arial" w:hAnsi="Arial" w:cs="Arial"/>
        </w:rPr>
        <w:t>uditors and auditing have been subject to very high levels of scrutiny in recent times following a number of widely reported financial failures in the private sector</w:t>
      </w:r>
      <w:r w:rsidR="005021CD">
        <w:rPr>
          <w:rFonts w:ascii="Arial" w:hAnsi="Arial" w:cs="Arial"/>
        </w:rPr>
        <w:t xml:space="preserve">. </w:t>
      </w:r>
      <w:r w:rsidR="00827C33">
        <w:rPr>
          <w:rFonts w:ascii="Arial" w:hAnsi="Arial" w:cs="Arial"/>
        </w:rPr>
        <w:t xml:space="preserve">As a result, auditors have needed to </w:t>
      </w:r>
      <w:r w:rsidR="009B3F8E">
        <w:rPr>
          <w:rFonts w:ascii="Arial" w:hAnsi="Arial" w:cs="Arial"/>
        </w:rPr>
        <w:t>extend</w:t>
      </w:r>
      <w:r w:rsidR="00827C33">
        <w:rPr>
          <w:rFonts w:ascii="Arial" w:hAnsi="Arial" w:cs="Arial"/>
        </w:rPr>
        <w:t xml:space="preserve"> their work programmes to satisfy higher regulatory expectations. </w:t>
      </w:r>
      <w:r w:rsidR="00096B8C">
        <w:rPr>
          <w:rFonts w:ascii="Arial" w:hAnsi="Arial" w:cs="Arial"/>
        </w:rPr>
        <w:t xml:space="preserve">The scope of </w:t>
      </w:r>
      <w:r w:rsidR="00514146">
        <w:rPr>
          <w:rFonts w:ascii="Arial" w:hAnsi="Arial" w:cs="Arial"/>
        </w:rPr>
        <w:t xml:space="preserve">local </w:t>
      </w:r>
      <w:r w:rsidR="00096B8C">
        <w:rPr>
          <w:rFonts w:ascii="Arial" w:hAnsi="Arial" w:cs="Arial"/>
        </w:rPr>
        <w:t xml:space="preserve">audit work has also evolved, with a new Code of Audit Practice in 2020 and </w:t>
      </w:r>
      <w:r w:rsidR="009B3F8E">
        <w:rPr>
          <w:rFonts w:ascii="Arial" w:hAnsi="Arial" w:cs="Arial"/>
        </w:rPr>
        <w:t>other changes in</w:t>
      </w:r>
      <w:r w:rsidR="00096B8C">
        <w:rPr>
          <w:rFonts w:ascii="Arial" w:hAnsi="Arial" w:cs="Arial"/>
        </w:rPr>
        <w:t xml:space="preserve"> technical and professional requirements. These changes have </w:t>
      </w:r>
      <w:r>
        <w:rPr>
          <w:rFonts w:ascii="Arial" w:hAnsi="Arial" w:cs="Arial"/>
        </w:rPr>
        <w:t xml:space="preserve">led to the need </w:t>
      </w:r>
      <w:r w:rsidR="005021CD">
        <w:rPr>
          <w:rFonts w:ascii="Arial" w:hAnsi="Arial" w:cs="Arial"/>
        </w:rPr>
        <w:t>for</w:t>
      </w:r>
      <w:r>
        <w:rPr>
          <w:rFonts w:ascii="Arial" w:hAnsi="Arial" w:cs="Arial"/>
        </w:rPr>
        <w:t xml:space="preserve"> additional </w:t>
      </w:r>
      <w:r w:rsidR="00011C61">
        <w:rPr>
          <w:rFonts w:ascii="Arial" w:hAnsi="Arial" w:cs="Arial"/>
        </w:rPr>
        <w:t xml:space="preserve">audit </w:t>
      </w:r>
      <w:r>
        <w:rPr>
          <w:rFonts w:ascii="Arial" w:hAnsi="Arial" w:cs="Arial"/>
        </w:rPr>
        <w:t xml:space="preserve">work </w:t>
      </w:r>
      <w:r w:rsidR="00A15A7B">
        <w:rPr>
          <w:rFonts w:ascii="Arial" w:hAnsi="Arial" w:cs="Arial"/>
        </w:rPr>
        <w:t>and fees</w:t>
      </w:r>
      <w:r w:rsidR="00011C61">
        <w:rPr>
          <w:rFonts w:ascii="Arial" w:hAnsi="Arial" w:cs="Arial"/>
        </w:rPr>
        <w:t xml:space="preserve"> </w:t>
      </w:r>
      <w:r>
        <w:rPr>
          <w:rFonts w:ascii="Arial" w:hAnsi="Arial" w:cs="Arial"/>
        </w:rPr>
        <w:t xml:space="preserve">at the majority </w:t>
      </w:r>
      <w:r w:rsidR="00450598">
        <w:rPr>
          <w:rFonts w:ascii="Arial" w:hAnsi="Arial" w:cs="Arial"/>
        </w:rPr>
        <w:t>of opted-in bodies</w:t>
      </w:r>
      <w:r w:rsidR="005021CD">
        <w:rPr>
          <w:rFonts w:ascii="Arial" w:hAnsi="Arial" w:cs="Arial"/>
        </w:rPr>
        <w:t>.</w:t>
      </w:r>
      <w:r w:rsidR="00096B8C">
        <w:rPr>
          <w:rFonts w:ascii="Arial" w:hAnsi="Arial" w:cs="Arial"/>
        </w:rPr>
        <w:t xml:space="preserve"> </w:t>
      </w:r>
    </w:p>
    <w:p w14:paraId="092B2D2B" w14:textId="77777777" w:rsidR="00514146" w:rsidRDefault="005021CD" w:rsidP="00637420">
      <w:pPr>
        <w:tabs>
          <w:tab w:val="num" w:pos="397"/>
        </w:tabs>
        <w:spacing w:before="140" w:after="0" w:line="300" w:lineRule="atLeast"/>
        <w:jc w:val="both"/>
        <w:rPr>
          <w:rFonts w:ascii="Arial" w:hAnsi="Arial" w:cs="Arial"/>
        </w:rPr>
      </w:pPr>
      <w:r>
        <w:rPr>
          <w:rFonts w:ascii="Arial" w:hAnsi="Arial" w:cs="Arial"/>
        </w:rPr>
        <w:t xml:space="preserve">Under current </w:t>
      </w:r>
      <w:r w:rsidR="00A15A7B">
        <w:rPr>
          <w:rFonts w:ascii="Arial" w:hAnsi="Arial" w:cs="Arial"/>
        </w:rPr>
        <w:t xml:space="preserve">local audit framework regulations, PSAA must set a fee scale </w:t>
      </w:r>
      <w:r w:rsidR="009B3F8E" w:rsidRPr="009B3F8E">
        <w:rPr>
          <w:rFonts w:ascii="Arial" w:hAnsi="Arial" w:cs="Arial"/>
        </w:rPr>
        <w:t>before each financial and subsequent audit cycle begins</w:t>
      </w:r>
      <w:r w:rsidR="009B3F8E">
        <w:rPr>
          <w:rFonts w:ascii="Arial" w:hAnsi="Arial" w:cs="Arial"/>
        </w:rPr>
        <w:t xml:space="preserve">. </w:t>
      </w:r>
      <w:r w:rsidR="00E96587">
        <w:rPr>
          <w:rFonts w:ascii="Arial" w:hAnsi="Arial" w:cs="Arial"/>
        </w:rPr>
        <w:t xml:space="preserve">At that stage </w:t>
      </w:r>
      <w:r w:rsidR="009B3F8E">
        <w:rPr>
          <w:rFonts w:ascii="Arial" w:hAnsi="Arial" w:cs="Arial"/>
        </w:rPr>
        <w:t xml:space="preserve">the </w:t>
      </w:r>
      <w:r w:rsidR="00E96587">
        <w:rPr>
          <w:rFonts w:ascii="Arial" w:hAnsi="Arial" w:cs="Arial"/>
        </w:rPr>
        <w:t>audits of the previous financial year have not been undertaken</w:t>
      </w:r>
      <w:r w:rsidR="00011C61">
        <w:rPr>
          <w:rFonts w:ascii="Arial" w:hAnsi="Arial" w:cs="Arial"/>
        </w:rPr>
        <w:t xml:space="preserve">, so PSAA does not have the benefit of accurate information </w:t>
      </w:r>
      <w:r w:rsidR="00096B8C">
        <w:rPr>
          <w:rFonts w:ascii="Arial" w:hAnsi="Arial" w:cs="Arial"/>
        </w:rPr>
        <w:t xml:space="preserve">on </w:t>
      </w:r>
      <w:r w:rsidR="009B3F8E">
        <w:rPr>
          <w:rFonts w:ascii="Arial" w:hAnsi="Arial" w:cs="Arial"/>
        </w:rPr>
        <w:t xml:space="preserve">any </w:t>
      </w:r>
      <w:r w:rsidR="00096B8C">
        <w:rPr>
          <w:rFonts w:ascii="Arial" w:hAnsi="Arial" w:cs="Arial"/>
        </w:rPr>
        <w:t xml:space="preserve">additional costs </w:t>
      </w:r>
      <w:r w:rsidR="00011C61">
        <w:rPr>
          <w:rFonts w:ascii="Arial" w:hAnsi="Arial" w:cs="Arial"/>
        </w:rPr>
        <w:t>for the</w:t>
      </w:r>
      <w:r w:rsidR="00096B8C">
        <w:rPr>
          <w:rFonts w:ascii="Arial" w:hAnsi="Arial" w:cs="Arial"/>
        </w:rPr>
        <w:t xml:space="preserve"> next</w:t>
      </w:r>
      <w:r w:rsidR="00011C61">
        <w:rPr>
          <w:rFonts w:ascii="Arial" w:hAnsi="Arial" w:cs="Arial"/>
        </w:rPr>
        <w:t xml:space="preserve"> fee scale. </w:t>
      </w:r>
      <w:r w:rsidR="00096B8C">
        <w:rPr>
          <w:rFonts w:ascii="Arial" w:hAnsi="Arial" w:cs="Arial"/>
        </w:rPr>
        <w:t xml:space="preserve">The regulations do not allow for changes to the fee scale after the start of the financial year but </w:t>
      </w:r>
      <w:r w:rsidR="009B3F8E">
        <w:rPr>
          <w:rFonts w:ascii="Arial" w:hAnsi="Arial" w:cs="Arial"/>
        </w:rPr>
        <w:t>allow</w:t>
      </w:r>
      <w:r w:rsidR="00096B8C">
        <w:rPr>
          <w:rFonts w:ascii="Arial" w:hAnsi="Arial" w:cs="Arial"/>
        </w:rPr>
        <w:t xml:space="preserve"> for fee variations </w:t>
      </w:r>
      <w:r w:rsidR="00344F20">
        <w:rPr>
          <w:rFonts w:ascii="Arial" w:hAnsi="Arial" w:cs="Arial"/>
        </w:rPr>
        <w:t xml:space="preserve">if the need for additional audit work </w:t>
      </w:r>
      <w:r w:rsidR="00096B8C">
        <w:rPr>
          <w:rFonts w:ascii="Arial" w:hAnsi="Arial" w:cs="Arial"/>
        </w:rPr>
        <w:t>arise</w:t>
      </w:r>
      <w:r w:rsidR="00344F20">
        <w:rPr>
          <w:rFonts w:ascii="Arial" w:hAnsi="Arial" w:cs="Arial"/>
        </w:rPr>
        <w:t>s</w:t>
      </w:r>
      <w:r w:rsidR="00096B8C">
        <w:rPr>
          <w:rFonts w:ascii="Arial" w:hAnsi="Arial" w:cs="Arial"/>
        </w:rPr>
        <w:t xml:space="preserve">. </w:t>
      </w:r>
      <w:r w:rsidR="00A15A7B">
        <w:rPr>
          <w:rFonts w:ascii="Arial" w:hAnsi="Arial" w:cs="Arial"/>
        </w:rPr>
        <w:t xml:space="preserve">This presents very real challenges </w:t>
      </w:r>
      <w:r w:rsidR="00096B8C">
        <w:rPr>
          <w:rFonts w:ascii="Arial" w:hAnsi="Arial" w:cs="Arial"/>
        </w:rPr>
        <w:t>in setting accurate fee scales</w:t>
      </w:r>
      <w:r w:rsidR="00344F20">
        <w:rPr>
          <w:rFonts w:ascii="Arial" w:hAnsi="Arial" w:cs="Arial"/>
        </w:rPr>
        <w:t>, which in turn</w:t>
      </w:r>
      <w:r w:rsidR="00A15A7B">
        <w:rPr>
          <w:rFonts w:ascii="Arial" w:hAnsi="Arial" w:cs="Arial"/>
        </w:rPr>
        <w:t xml:space="preserve"> </w:t>
      </w:r>
      <w:r w:rsidR="00096B8C">
        <w:rPr>
          <w:rFonts w:ascii="Arial" w:hAnsi="Arial" w:cs="Arial"/>
        </w:rPr>
        <w:t xml:space="preserve">has </w:t>
      </w:r>
      <w:r w:rsidR="00011C61">
        <w:rPr>
          <w:rFonts w:ascii="Arial" w:hAnsi="Arial" w:cs="Arial"/>
        </w:rPr>
        <w:t>create</w:t>
      </w:r>
      <w:r w:rsidR="00096B8C">
        <w:rPr>
          <w:rFonts w:ascii="Arial" w:hAnsi="Arial" w:cs="Arial"/>
        </w:rPr>
        <w:t>d</w:t>
      </w:r>
      <w:r w:rsidR="00011C61">
        <w:rPr>
          <w:rFonts w:ascii="Arial" w:hAnsi="Arial" w:cs="Arial"/>
        </w:rPr>
        <w:t xml:space="preserve"> pressure </w:t>
      </w:r>
      <w:r w:rsidR="00A15A7B">
        <w:rPr>
          <w:rFonts w:ascii="Arial" w:hAnsi="Arial" w:cs="Arial"/>
        </w:rPr>
        <w:t xml:space="preserve">on </w:t>
      </w:r>
      <w:r w:rsidR="00011C61">
        <w:rPr>
          <w:rFonts w:ascii="Arial" w:hAnsi="Arial" w:cs="Arial"/>
        </w:rPr>
        <w:t xml:space="preserve">the </w:t>
      </w:r>
      <w:r w:rsidR="00A15A7B">
        <w:rPr>
          <w:rFonts w:ascii="Arial" w:hAnsi="Arial" w:cs="Arial"/>
        </w:rPr>
        <w:t>fee variations</w:t>
      </w:r>
      <w:r w:rsidR="00011C61">
        <w:rPr>
          <w:rFonts w:ascii="Arial" w:hAnsi="Arial" w:cs="Arial"/>
        </w:rPr>
        <w:t xml:space="preserve"> process</w:t>
      </w:r>
      <w:r w:rsidR="00344F20">
        <w:rPr>
          <w:rFonts w:ascii="Arial" w:hAnsi="Arial" w:cs="Arial"/>
        </w:rPr>
        <w:t xml:space="preserve"> because of the higher number of claims than previously.</w:t>
      </w:r>
      <w:r w:rsidR="00096B8C">
        <w:rPr>
          <w:rFonts w:ascii="Arial" w:hAnsi="Arial" w:cs="Arial"/>
        </w:rPr>
        <w:t xml:space="preserve"> </w:t>
      </w:r>
    </w:p>
    <w:p w14:paraId="0CE6411C" w14:textId="79F8D942" w:rsidR="00344F20" w:rsidRDefault="00344F20" w:rsidP="00637420">
      <w:pPr>
        <w:tabs>
          <w:tab w:val="num" w:pos="397"/>
        </w:tabs>
        <w:spacing w:before="140" w:after="0" w:line="300" w:lineRule="atLeast"/>
        <w:jc w:val="both"/>
        <w:rPr>
          <w:rFonts w:ascii="Arial" w:hAnsi="Arial" w:cs="Arial"/>
        </w:rPr>
      </w:pPr>
      <w:r>
        <w:rPr>
          <w:rFonts w:ascii="Arial" w:hAnsi="Arial" w:cs="Arial"/>
        </w:rPr>
        <w:t xml:space="preserve">In its </w:t>
      </w:r>
      <w:hyperlink r:id="rId8" w:history="1">
        <w:r w:rsidRPr="004322A0">
          <w:rPr>
            <w:rStyle w:val="Hyperlink"/>
            <w:rFonts w:ascii="Arial" w:hAnsi="Arial" w:cs="Arial"/>
          </w:rPr>
          <w:t>initial response to the Redmond report</w:t>
        </w:r>
      </w:hyperlink>
      <w:r w:rsidR="004322A0">
        <w:rPr>
          <w:rFonts w:ascii="Arial" w:hAnsi="Arial" w:cs="Arial"/>
        </w:rPr>
        <w:t xml:space="preserve"> MHCLG has said “</w:t>
      </w:r>
      <w:r w:rsidR="004322A0" w:rsidRPr="004322A0">
        <w:rPr>
          <w:rFonts w:ascii="Arial" w:hAnsi="Arial" w:cs="Arial"/>
        </w:rPr>
        <w:t>Subject to consultation, the Department will review and reform regulations to provide the appointing person with greater flexibility to ensure the costs to audit firms of additional work are met. This could include enabling the appointing person to allow a fee scale to be set or changed in-year (subject to consultation with the auditor and the audited body), and/or enabling the appointing person (subject to appropriate consultation) to set additional fees across groupings of audited bodies in-year where there is clear evidence of additional work that affects those groupings.</w:t>
      </w:r>
      <w:r w:rsidR="004322A0">
        <w:rPr>
          <w:rFonts w:ascii="Arial" w:hAnsi="Arial" w:cs="Arial"/>
        </w:rPr>
        <w:t>”</w:t>
      </w:r>
      <w:r w:rsidR="00514146">
        <w:rPr>
          <w:rFonts w:ascii="Arial" w:hAnsi="Arial" w:cs="Arial"/>
        </w:rPr>
        <w:t xml:space="preserve"> </w:t>
      </w:r>
      <w:r w:rsidR="00514146" w:rsidRPr="00514146">
        <w:rPr>
          <w:rFonts w:ascii="Arial" w:hAnsi="Arial" w:cs="Arial"/>
        </w:rPr>
        <w:t>In PSAA’s view the changes outlined would be extremely helpful and a welcome step towards a more flexible system</w:t>
      </w:r>
      <w:r w:rsidR="00514146">
        <w:rPr>
          <w:rFonts w:ascii="Arial" w:hAnsi="Arial" w:cs="Arial"/>
        </w:rPr>
        <w:t>.</w:t>
      </w:r>
    </w:p>
    <w:p w14:paraId="6A998281" w14:textId="52543C28" w:rsidR="00011C61" w:rsidRPr="00011C61" w:rsidRDefault="00011C61" w:rsidP="00637420">
      <w:pPr>
        <w:tabs>
          <w:tab w:val="num" w:pos="397"/>
        </w:tabs>
        <w:spacing w:before="140" w:after="0" w:line="300" w:lineRule="atLeast"/>
        <w:jc w:val="both"/>
        <w:rPr>
          <w:rFonts w:ascii="Arial" w:hAnsi="Arial" w:cs="Arial"/>
        </w:rPr>
      </w:pPr>
      <w:r w:rsidRPr="00011C61">
        <w:rPr>
          <w:rFonts w:ascii="Arial" w:hAnsi="Arial" w:cs="Arial"/>
        </w:rPr>
        <w:t xml:space="preserve">The current fee variations process requires the auditor to </w:t>
      </w:r>
      <w:r w:rsidR="004322A0">
        <w:rPr>
          <w:rFonts w:ascii="Arial" w:hAnsi="Arial" w:cs="Arial"/>
        </w:rPr>
        <w:t>discuss</w:t>
      </w:r>
      <w:r w:rsidRPr="00011C61">
        <w:rPr>
          <w:rFonts w:ascii="Arial" w:hAnsi="Arial" w:cs="Arial"/>
        </w:rPr>
        <w:t xml:space="preserve"> all proposed variations with audited bod</w:t>
      </w:r>
      <w:r w:rsidR="009B3F8E">
        <w:rPr>
          <w:rFonts w:ascii="Arial" w:hAnsi="Arial" w:cs="Arial"/>
        </w:rPr>
        <w:t>ies</w:t>
      </w:r>
      <w:r w:rsidRPr="00011C61">
        <w:rPr>
          <w:rFonts w:ascii="Arial" w:hAnsi="Arial" w:cs="Arial"/>
        </w:rPr>
        <w:t xml:space="preserve"> before </w:t>
      </w:r>
      <w:r w:rsidR="00D41DD0">
        <w:rPr>
          <w:rFonts w:ascii="Arial" w:hAnsi="Arial" w:cs="Arial"/>
        </w:rPr>
        <w:t xml:space="preserve">submission to </w:t>
      </w:r>
      <w:r w:rsidRPr="00011C61">
        <w:rPr>
          <w:rFonts w:ascii="Arial" w:hAnsi="Arial" w:cs="Arial"/>
        </w:rPr>
        <w:t xml:space="preserve">PSAA for determination. Feedback from both auditors and audited bodies frequently refers to the </w:t>
      </w:r>
      <w:r w:rsidR="00D41DD0">
        <w:rPr>
          <w:rFonts w:ascii="Arial" w:hAnsi="Arial" w:cs="Arial"/>
        </w:rPr>
        <w:t xml:space="preserve">pressures this requirement places on them. They are also concerned about the </w:t>
      </w:r>
      <w:r w:rsidRPr="00011C61">
        <w:rPr>
          <w:rFonts w:ascii="Arial" w:hAnsi="Arial" w:cs="Arial"/>
        </w:rPr>
        <w:t>practical challenges and limited value of local discussions about proposed variations which relate to factors which affect most or all audited bodies</w:t>
      </w:r>
      <w:r w:rsidR="00150322">
        <w:rPr>
          <w:rFonts w:ascii="Arial" w:hAnsi="Arial" w:cs="Arial"/>
        </w:rPr>
        <w:t>.</w:t>
      </w:r>
    </w:p>
    <w:p w14:paraId="5A6BF578" w14:textId="71E3E688" w:rsidR="00361C3C" w:rsidRPr="00361C3C" w:rsidRDefault="00D439BD" w:rsidP="000A5657">
      <w:pPr>
        <w:pStyle w:val="Bodytextnumbered"/>
        <w:numPr>
          <w:ilvl w:val="0"/>
          <w:numId w:val="16"/>
        </w:numPr>
        <w:spacing w:before="240"/>
        <w:jc w:val="both"/>
        <w:rPr>
          <w:b/>
          <w:bCs/>
          <w:color w:val="236995"/>
          <w:sz w:val="24"/>
          <w:szCs w:val="24"/>
        </w:rPr>
      </w:pPr>
      <w:bookmarkStart w:id="0" w:name="_Hlk61369655"/>
      <w:r>
        <w:rPr>
          <w:b/>
          <w:bCs/>
          <w:color w:val="236995"/>
          <w:sz w:val="24"/>
          <w:szCs w:val="24"/>
        </w:rPr>
        <w:t xml:space="preserve">The proposed changes </w:t>
      </w:r>
      <w:r w:rsidR="004322A0">
        <w:rPr>
          <w:b/>
          <w:bCs/>
          <w:color w:val="236995"/>
          <w:sz w:val="24"/>
          <w:szCs w:val="24"/>
        </w:rPr>
        <w:t>on which PSAA consulted</w:t>
      </w:r>
    </w:p>
    <w:bookmarkEnd w:id="0"/>
    <w:p w14:paraId="10B9EEC8" w14:textId="0226783A" w:rsidR="00361C3C" w:rsidRPr="00274378" w:rsidRDefault="006F63BE" w:rsidP="00361C3C">
      <w:pPr>
        <w:pStyle w:val="Bodytextnumbered"/>
        <w:jc w:val="both"/>
      </w:pPr>
      <w:r>
        <w:t>Our</w:t>
      </w:r>
      <w:r w:rsidR="004E480B">
        <w:t xml:space="preserve"> consultation set out </w:t>
      </w:r>
      <w:r w:rsidR="00E6252B">
        <w:t xml:space="preserve">proposals </w:t>
      </w:r>
      <w:r w:rsidR="004E480B">
        <w:t>for</w:t>
      </w:r>
      <w:r w:rsidR="00E6252B">
        <w:t xml:space="preserve"> </w:t>
      </w:r>
      <w:r w:rsidR="00361C3C">
        <w:t xml:space="preserve">a new approach to fee variations </w:t>
      </w:r>
      <w:r w:rsidR="00361C3C" w:rsidRPr="007E45EA">
        <w:t>for audits of 2020/21 and subsequent accounts, based on two types of variation:</w:t>
      </w:r>
    </w:p>
    <w:p w14:paraId="480A27C0" w14:textId="6ED95210" w:rsidR="00361C3C" w:rsidRDefault="00361C3C" w:rsidP="00E6252B">
      <w:pPr>
        <w:pStyle w:val="Bodytextnumbered"/>
        <w:numPr>
          <w:ilvl w:val="0"/>
          <w:numId w:val="5"/>
        </w:numPr>
        <w:jc w:val="both"/>
      </w:pPr>
      <w:r w:rsidRPr="00301EC5">
        <w:rPr>
          <w:b/>
          <w:bCs/>
        </w:rPr>
        <w:t>national variations</w:t>
      </w:r>
      <w:r w:rsidRPr="00274378">
        <w:t xml:space="preserve">, for changes that relate to the conduct of all or most audits, such as changes to the auditing and accounting codes, standards and regulatory requirements, where a standard cost can reasonably </w:t>
      </w:r>
      <w:r w:rsidR="007E45EA" w:rsidRPr="00274378">
        <w:t xml:space="preserve">be </w:t>
      </w:r>
      <w:r w:rsidRPr="00274378">
        <w:t>estimated; and</w:t>
      </w:r>
    </w:p>
    <w:p w14:paraId="48A3DA53" w14:textId="7AD3AC94" w:rsidR="00361C3C" w:rsidRPr="00E6252B" w:rsidRDefault="00361C3C" w:rsidP="00E6252B">
      <w:pPr>
        <w:pStyle w:val="Bodytextnumbered"/>
        <w:numPr>
          <w:ilvl w:val="0"/>
          <w:numId w:val="5"/>
        </w:numPr>
        <w:jc w:val="both"/>
      </w:pPr>
      <w:r>
        <w:rPr>
          <w:b/>
          <w:bCs/>
        </w:rPr>
        <w:t>local variations</w:t>
      </w:r>
      <w:r w:rsidRPr="00E6252B">
        <w:rPr>
          <w:b/>
          <w:bCs/>
        </w:rPr>
        <w:t>,</w:t>
      </w:r>
      <w:r>
        <w:rPr>
          <w:b/>
          <w:bCs/>
        </w:rPr>
        <w:t xml:space="preserve"> </w:t>
      </w:r>
      <w:r w:rsidRPr="00E6252B">
        <w:t xml:space="preserve">for issues that relate to local factors arising from the conduct of </w:t>
      </w:r>
      <w:r w:rsidR="002C5E2F">
        <w:t>a</w:t>
      </w:r>
      <w:r w:rsidRPr="00E6252B">
        <w:t xml:space="preserve"> particular audit, such as the additional audit work required if accounts reflect complex transactions that are not built into the scale fee, or where working papers are poorly prepared, or for work relating to an auditor’s statutory responsibilities such as objections, statutory recommendations or public interest reports.</w:t>
      </w:r>
    </w:p>
    <w:p w14:paraId="5E54AA93" w14:textId="77777777" w:rsidR="00C267C8" w:rsidRDefault="009F4127" w:rsidP="00AC7849">
      <w:pPr>
        <w:pStyle w:val="Bodytextnumbered"/>
        <w:pBdr>
          <w:top w:val="none" w:sz="0" w:space="0" w:color="auto"/>
          <w:left w:val="none" w:sz="0" w:space="0" w:color="auto"/>
          <w:bottom w:val="none" w:sz="0" w:space="0" w:color="auto"/>
          <w:right w:val="none" w:sz="0" w:space="0" w:color="auto"/>
          <w:between w:val="none" w:sz="0" w:space="0" w:color="auto"/>
          <w:bar w:val="none" w:sz="0" w:color="auto"/>
        </w:pBdr>
        <w:jc w:val="both"/>
        <w:rPr>
          <w:rFonts w:cs="Arial"/>
        </w:rPr>
      </w:pPr>
      <w:r w:rsidRPr="009F4127">
        <w:rPr>
          <w:rFonts w:cs="Arial"/>
        </w:rPr>
        <w:t xml:space="preserve">We believe national variations </w:t>
      </w:r>
      <w:r w:rsidR="002C5E2F">
        <w:rPr>
          <w:rFonts w:cs="Arial"/>
        </w:rPr>
        <w:t>can</w:t>
      </w:r>
      <w:r w:rsidRPr="009F4127">
        <w:rPr>
          <w:rFonts w:cs="Arial"/>
        </w:rPr>
        <w:t xml:space="preserve"> obviate the need for local fee variation discussions </w:t>
      </w:r>
      <w:r>
        <w:rPr>
          <w:rFonts w:cs="Arial"/>
        </w:rPr>
        <w:t xml:space="preserve">for </w:t>
      </w:r>
      <w:r w:rsidRPr="009F4127">
        <w:rPr>
          <w:rFonts w:cs="Arial"/>
        </w:rPr>
        <w:t>system-wide issues</w:t>
      </w:r>
      <w:r>
        <w:rPr>
          <w:rFonts w:cs="Arial"/>
        </w:rPr>
        <w:t>, r</w:t>
      </w:r>
      <w:r w:rsidRPr="009F4127">
        <w:rPr>
          <w:rFonts w:cs="Arial"/>
        </w:rPr>
        <w:t xml:space="preserve">elieving audited bodies and audit firms of much of the burden of dealing with </w:t>
      </w:r>
      <w:r>
        <w:rPr>
          <w:rFonts w:cs="Arial"/>
        </w:rPr>
        <w:t xml:space="preserve">them </w:t>
      </w:r>
      <w:r w:rsidRPr="009F4127">
        <w:rPr>
          <w:rFonts w:cs="Arial"/>
        </w:rPr>
        <w:t xml:space="preserve">at local level. </w:t>
      </w:r>
      <w:r w:rsidR="006F63BE">
        <w:rPr>
          <w:rFonts w:cs="Arial"/>
        </w:rPr>
        <w:t>The</w:t>
      </w:r>
      <w:r>
        <w:rPr>
          <w:rFonts w:cs="Arial"/>
        </w:rPr>
        <w:t xml:space="preserve"> </w:t>
      </w:r>
      <w:r w:rsidR="006F63BE">
        <w:rPr>
          <w:rFonts w:cs="Arial"/>
        </w:rPr>
        <w:t xml:space="preserve">proposed approach </w:t>
      </w:r>
      <w:r>
        <w:rPr>
          <w:rFonts w:cs="Arial"/>
        </w:rPr>
        <w:t>responds</w:t>
      </w:r>
      <w:r w:rsidRPr="009F4127">
        <w:rPr>
          <w:rFonts w:cs="Arial"/>
        </w:rPr>
        <w:t xml:space="preserve"> directly to stakeholders’ expressed concerns and offers the prospect of improving both the efficiency of the fee variation process and the consistency of resulting </w:t>
      </w:r>
      <w:r w:rsidR="006F63BE">
        <w:rPr>
          <w:rFonts w:cs="Arial"/>
        </w:rPr>
        <w:t>outcomes</w:t>
      </w:r>
      <w:r>
        <w:rPr>
          <w:rFonts w:cs="Arial"/>
        </w:rPr>
        <w:t>.</w:t>
      </w:r>
      <w:r w:rsidR="00AC7849" w:rsidRPr="00AC7849">
        <w:rPr>
          <w:rFonts w:cs="Arial"/>
        </w:rPr>
        <w:t xml:space="preserve"> </w:t>
      </w:r>
    </w:p>
    <w:p w14:paraId="21DED79E" w14:textId="095E81B0" w:rsidR="00E82203" w:rsidRDefault="00C267C8" w:rsidP="00AC7849">
      <w:pPr>
        <w:pStyle w:val="Bodytextnumbered"/>
        <w:pBdr>
          <w:top w:val="none" w:sz="0" w:space="0" w:color="auto"/>
          <w:left w:val="none" w:sz="0" w:space="0" w:color="auto"/>
          <w:bottom w:val="none" w:sz="0" w:space="0" w:color="auto"/>
          <w:right w:val="none" w:sz="0" w:space="0" w:color="auto"/>
          <w:between w:val="none" w:sz="0" w:space="0" w:color="auto"/>
          <w:bar w:val="none" w:sz="0" w:color="auto"/>
        </w:pBdr>
        <w:jc w:val="both"/>
        <w:rPr>
          <w:rFonts w:cs="Arial"/>
        </w:rPr>
      </w:pPr>
      <w:r>
        <w:rPr>
          <w:rFonts w:cs="Arial"/>
        </w:rPr>
        <w:t>T</w:t>
      </w:r>
      <w:r w:rsidRPr="00C267C8">
        <w:rPr>
          <w:rFonts w:cs="Arial"/>
        </w:rPr>
        <w:t xml:space="preserve">he circumstances in which PSAA </w:t>
      </w:r>
      <w:r>
        <w:rPr>
          <w:rFonts w:cs="Arial"/>
        </w:rPr>
        <w:t>would</w:t>
      </w:r>
      <w:r w:rsidRPr="00C267C8">
        <w:rPr>
          <w:rFonts w:cs="Arial"/>
        </w:rPr>
        <w:t xml:space="preserve"> be able to determine a national fee variation, or </w:t>
      </w:r>
      <w:r>
        <w:rPr>
          <w:rFonts w:cs="Arial"/>
        </w:rPr>
        <w:t>set out</w:t>
      </w:r>
      <w:r w:rsidRPr="00C267C8">
        <w:rPr>
          <w:rFonts w:cs="Arial"/>
        </w:rPr>
        <w:t xml:space="preserve"> a fee range, </w:t>
      </w:r>
      <w:r>
        <w:rPr>
          <w:rFonts w:cs="Arial"/>
        </w:rPr>
        <w:t>will depend on the applicability of the particular change in requirements to all opted-in bodies or groupings of bodies. It will also depend on the extent to which the additional work required is</w:t>
      </w:r>
      <w:r w:rsidR="00CC313E">
        <w:rPr>
          <w:rFonts w:cs="Arial"/>
        </w:rPr>
        <w:t xml:space="preserve"> predictable and</w:t>
      </w:r>
      <w:r>
        <w:rPr>
          <w:rFonts w:cs="Arial"/>
        </w:rPr>
        <w:t xml:space="preserve"> consistent across bodies rather than variable based on local conditions. </w:t>
      </w:r>
      <w:r w:rsidR="00E82203">
        <w:rPr>
          <w:rFonts w:cs="Arial"/>
        </w:rPr>
        <w:t>As an</w:t>
      </w:r>
      <w:r w:rsidR="00E82203" w:rsidRPr="00E82203">
        <w:rPr>
          <w:rFonts w:cs="Arial"/>
        </w:rPr>
        <w:t xml:space="preserve"> example, the </w:t>
      </w:r>
      <w:r w:rsidR="00E82203" w:rsidRPr="00E82203">
        <w:rPr>
          <w:rFonts w:cs="Arial"/>
        </w:rPr>
        <w:lastRenderedPageBreak/>
        <w:t>McCloud pensions judgement has been a national issue in recent years, but the additional work required would not lend itself to a national fee variation because application varies significantly between audited bodies and in an unpredictable way.</w:t>
      </w:r>
    </w:p>
    <w:p w14:paraId="58C0597E" w14:textId="70E72BCE" w:rsidR="00AC7849" w:rsidRPr="008A48FC" w:rsidRDefault="00AC7849" w:rsidP="00AC7849">
      <w:pPr>
        <w:pStyle w:val="Bodytextnumbered"/>
        <w:pBdr>
          <w:top w:val="none" w:sz="0" w:space="0" w:color="auto"/>
          <w:left w:val="none" w:sz="0" w:space="0" w:color="auto"/>
          <w:bottom w:val="none" w:sz="0" w:space="0" w:color="auto"/>
          <w:right w:val="none" w:sz="0" w:space="0" w:color="auto"/>
          <w:between w:val="none" w:sz="0" w:space="0" w:color="auto"/>
          <w:bar w:val="none" w:sz="0" w:color="auto"/>
        </w:pBdr>
        <w:jc w:val="both"/>
        <w:rPr>
          <w:rFonts w:cs="Arial"/>
        </w:rPr>
      </w:pPr>
      <w:r>
        <w:rPr>
          <w:rFonts w:cs="Arial"/>
        </w:rPr>
        <w:t xml:space="preserve">The consultation also proposed an increase of 25% in the fee rates used for fee variations. </w:t>
      </w:r>
      <w:r w:rsidRPr="008A48FC">
        <w:rPr>
          <w:rFonts w:cs="Arial"/>
        </w:rPr>
        <w:t>The</w:t>
      </w:r>
      <w:r>
        <w:rPr>
          <w:rFonts w:cs="Arial"/>
        </w:rPr>
        <w:t xml:space="preserve"> rates have </w:t>
      </w:r>
      <w:r w:rsidRPr="008A48FC">
        <w:rPr>
          <w:rFonts w:cs="Arial"/>
        </w:rPr>
        <w:t xml:space="preserve">been subject to successive fee reductions in recent years, linked to changes in scale fees. Over the same period, rates for audit work in other sectors have risen. This is an increasing concern to audit suppliers given the higher volumes </w:t>
      </w:r>
      <w:r w:rsidR="006F63BE">
        <w:rPr>
          <w:rFonts w:cs="Arial"/>
        </w:rPr>
        <w:t xml:space="preserve">and complexity </w:t>
      </w:r>
      <w:r w:rsidRPr="008A48FC">
        <w:rPr>
          <w:rFonts w:cs="Arial"/>
        </w:rPr>
        <w:t xml:space="preserve">of </w:t>
      </w:r>
      <w:r w:rsidR="00D41DD0">
        <w:rPr>
          <w:rFonts w:cs="Arial"/>
        </w:rPr>
        <w:t xml:space="preserve">some of the additional work for which fee </w:t>
      </w:r>
      <w:r w:rsidRPr="008A48FC">
        <w:rPr>
          <w:rFonts w:cs="Arial"/>
        </w:rPr>
        <w:t xml:space="preserve">variations </w:t>
      </w:r>
      <w:r w:rsidR="00D41DD0">
        <w:rPr>
          <w:rFonts w:cs="Arial"/>
        </w:rPr>
        <w:t>are needed</w:t>
      </w:r>
      <w:r w:rsidRPr="008A48FC">
        <w:rPr>
          <w:rFonts w:cs="Arial"/>
        </w:rPr>
        <w:t>.</w:t>
      </w:r>
      <w:r w:rsidR="004322A0">
        <w:rPr>
          <w:rFonts w:cs="Arial"/>
        </w:rPr>
        <w:t xml:space="preserve"> The proposed new rates continue to be keenly competitive compared to rates payable in other sectors.</w:t>
      </w:r>
    </w:p>
    <w:p w14:paraId="36F59018" w14:textId="460C31F8" w:rsidR="006F7232" w:rsidRPr="00361C3C" w:rsidRDefault="006F7232" w:rsidP="000A5657">
      <w:pPr>
        <w:pStyle w:val="Bodytextnumbered"/>
        <w:numPr>
          <w:ilvl w:val="0"/>
          <w:numId w:val="16"/>
        </w:numPr>
        <w:spacing w:before="240"/>
        <w:jc w:val="both"/>
        <w:rPr>
          <w:b/>
          <w:bCs/>
          <w:color w:val="236995"/>
          <w:sz w:val="24"/>
          <w:szCs w:val="24"/>
        </w:rPr>
      </w:pPr>
      <w:bookmarkStart w:id="1" w:name="_Hlk61436499"/>
      <w:r>
        <w:rPr>
          <w:b/>
          <w:bCs/>
          <w:color w:val="236995"/>
          <w:sz w:val="24"/>
          <w:szCs w:val="24"/>
        </w:rPr>
        <w:t xml:space="preserve">Consultation </w:t>
      </w:r>
      <w:r w:rsidR="00F23367">
        <w:rPr>
          <w:b/>
          <w:bCs/>
          <w:color w:val="236995"/>
          <w:sz w:val="24"/>
          <w:szCs w:val="24"/>
        </w:rPr>
        <w:t>results</w:t>
      </w:r>
    </w:p>
    <w:bookmarkEnd w:id="1"/>
    <w:p w14:paraId="62576A57" w14:textId="0EF2BF40" w:rsidR="000939A2" w:rsidRDefault="001C5013" w:rsidP="001C5013">
      <w:pPr>
        <w:pStyle w:val="Bodytextnumbered"/>
        <w:spacing w:before="240"/>
        <w:jc w:val="both"/>
        <w:rPr>
          <w:rFonts w:cs="Arial"/>
        </w:rPr>
      </w:pPr>
      <w:r w:rsidRPr="001C5013">
        <w:rPr>
          <w:rFonts w:cs="Arial"/>
        </w:rPr>
        <w:t xml:space="preserve">We received a </w:t>
      </w:r>
      <w:r w:rsidR="00F23367">
        <w:rPr>
          <w:rFonts w:cs="Arial"/>
        </w:rPr>
        <w:t xml:space="preserve">very encouraging </w:t>
      </w:r>
      <w:r w:rsidRPr="001C5013">
        <w:rPr>
          <w:rFonts w:cs="Arial"/>
        </w:rPr>
        <w:t>response</w:t>
      </w:r>
      <w:r>
        <w:rPr>
          <w:rFonts w:cs="Arial"/>
        </w:rPr>
        <w:t xml:space="preserve"> to the consultation</w:t>
      </w:r>
      <w:r w:rsidRPr="001C5013">
        <w:rPr>
          <w:rFonts w:cs="Arial"/>
        </w:rPr>
        <w:t>, with 90 replies in total</w:t>
      </w:r>
      <w:r w:rsidR="00F23367">
        <w:rPr>
          <w:rFonts w:cs="Arial"/>
        </w:rPr>
        <w:t xml:space="preserve"> (</w:t>
      </w:r>
      <w:r w:rsidR="009F4127">
        <w:rPr>
          <w:rFonts w:cs="Arial"/>
        </w:rPr>
        <w:t xml:space="preserve">almost double the </w:t>
      </w:r>
      <w:r w:rsidR="004322A0">
        <w:rPr>
          <w:rFonts w:cs="Arial"/>
        </w:rPr>
        <w:t xml:space="preserve">number of </w:t>
      </w:r>
      <w:r w:rsidR="009F4127">
        <w:rPr>
          <w:rFonts w:cs="Arial"/>
        </w:rPr>
        <w:t xml:space="preserve">replies to our </w:t>
      </w:r>
      <w:r w:rsidR="004322A0">
        <w:rPr>
          <w:rFonts w:cs="Arial"/>
        </w:rPr>
        <w:t>most recent</w:t>
      </w:r>
      <w:r w:rsidR="009F4127">
        <w:rPr>
          <w:rFonts w:cs="Arial"/>
        </w:rPr>
        <w:t xml:space="preserve"> fee</w:t>
      </w:r>
      <w:r w:rsidR="002C5E2F">
        <w:rPr>
          <w:rFonts w:cs="Arial"/>
        </w:rPr>
        <w:t>s-related</w:t>
      </w:r>
      <w:r w:rsidR="009F4127">
        <w:rPr>
          <w:rFonts w:cs="Arial"/>
        </w:rPr>
        <w:t xml:space="preserve"> consultation</w:t>
      </w:r>
      <w:r w:rsidR="004322A0">
        <w:rPr>
          <w:rFonts w:cs="Arial"/>
        </w:rPr>
        <w:t>,</w:t>
      </w:r>
      <w:r w:rsidR="009F4127">
        <w:rPr>
          <w:rFonts w:cs="Arial"/>
        </w:rPr>
        <w:t xml:space="preserve"> on the 2020/21 fee scale</w:t>
      </w:r>
      <w:r w:rsidR="002C5E2F">
        <w:rPr>
          <w:rFonts w:cs="Arial"/>
        </w:rPr>
        <w:t>,</w:t>
      </w:r>
      <w:r w:rsidR="002C5E2F" w:rsidRPr="002C5E2F">
        <w:rPr>
          <w:rFonts w:cs="Arial"/>
        </w:rPr>
        <w:t xml:space="preserve"> </w:t>
      </w:r>
      <w:r w:rsidR="002C5E2F">
        <w:rPr>
          <w:rFonts w:cs="Arial"/>
        </w:rPr>
        <w:t>in January 2020</w:t>
      </w:r>
      <w:r w:rsidR="00F23367">
        <w:rPr>
          <w:rFonts w:cs="Arial"/>
        </w:rPr>
        <w:t>)</w:t>
      </w:r>
      <w:r w:rsidR="00AC7849">
        <w:rPr>
          <w:rFonts w:cs="Arial"/>
        </w:rPr>
        <w:t>.</w:t>
      </w:r>
      <w:r w:rsidR="00F23367">
        <w:rPr>
          <w:rFonts w:cs="Arial"/>
        </w:rPr>
        <w:t xml:space="preserve"> </w:t>
      </w:r>
    </w:p>
    <w:p w14:paraId="04CF0166" w14:textId="7B5D08D6" w:rsidR="00AC7849" w:rsidRDefault="00F23367" w:rsidP="001C5013">
      <w:pPr>
        <w:pStyle w:val="Bodytextnumbered"/>
        <w:spacing w:before="240"/>
        <w:jc w:val="both"/>
        <w:rPr>
          <w:rFonts w:cs="Arial"/>
        </w:rPr>
      </w:pPr>
      <w:r>
        <w:rPr>
          <w:rFonts w:cs="Arial"/>
        </w:rPr>
        <w:t>Opted-in bodies accounted for 80 (89%) of the replies</w:t>
      </w:r>
      <w:r w:rsidR="0036319F">
        <w:rPr>
          <w:rFonts w:cs="Arial"/>
        </w:rPr>
        <w:t xml:space="preserve">, with the </w:t>
      </w:r>
      <w:r>
        <w:rPr>
          <w:rFonts w:cs="Arial"/>
        </w:rPr>
        <w:t xml:space="preserve">remaining 10 replies from </w:t>
      </w:r>
      <w:r w:rsidR="00B621EE">
        <w:rPr>
          <w:rFonts w:cs="Arial"/>
        </w:rPr>
        <w:t>representative</w:t>
      </w:r>
      <w:r>
        <w:rPr>
          <w:rFonts w:cs="Arial"/>
        </w:rPr>
        <w:t xml:space="preserve"> organisations of local government and police bodies (6%), audit firms (4%), and one response from a member of the public.</w:t>
      </w:r>
      <w:r w:rsidR="002C5E2F">
        <w:rPr>
          <w:rFonts w:cs="Arial"/>
        </w:rPr>
        <w:t xml:space="preserve"> Responses from opted-in bodies cover</w:t>
      </w:r>
      <w:r w:rsidR="0036319F">
        <w:rPr>
          <w:rFonts w:cs="Arial"/>
        </w:rPr>
        <w:t>ed</w:t>
      </w:r>
      <w:r w:rsidR="002C5E2F">
        <w:rPr>
          <w:rFonts w:cs="Arial"/>
        </w:rPr>
        <w:t xml:space="preserve"> </w:t>
      </w:r>
      <w:r w:rsidR="0036319F">
        <w:rPr>
          <w:rFonts w:cs="Arial"/>
        </w:rPr>
        <w:t xml:space="preserve">most </w:t>
      </w:r>
      <w:r w:rsidR="00C75A9C">
        <w:rPr>
          <w:rFonts w:cs="Arial"/>
        </w:rPr>
        <w:t xml:space="preserve">opted-in </w:t>
      </w:r>
      <w:r w:rsidR="0036319F">
        <w:rPr>
          <w:rFonts w:cs="Arial"/>
        </w:rPr>
        <w:t xml:space="preserve">body types, including </w:t>
      </w:r>
      <w:r w:rsidR="0036319F" w:rsidRPr="0036319F">
        <w:rPr>
          <w:rFonts w:cs="Arial"/>
        </w:rPr>
        <w:t>councils, police</w:t>
      </w:r>
      <w:r w:rsidR="0036319F">
        <w:rPr>
          <w:rFonts w:cs="Arial"/>
        </w:rPr>
        <w:t>, fire bodies, and other local government bodies. Re</w:t>
      </w:r>
      <w:r w:rsidR="0036319F" w:rsidRPr="0036319F">
        <w:rPr>
          <w:rFonts w:cs="Arial"/>
        </w:rPr>
        <w:t xml:space="preserve">sponses from councils </w:t>
      </w:r>
      <w:r w:rsidR="0036319F">
        <w:rPr>
          <w:rFonts w:cs="Arial"/>
        </w:rPr>
        <w:t>were</w:t>
      </w:r>
      <w:r w:rsidR="0036319F" w:rsidRPr="0036319F">
        <w:rPr>
          <w:rFonts w:cs="Arial"/>
        </w:rPr>
        <w:t xml:space="preserve"> from district</w:t>
      </w:r>
      <w:r w:rsidR="00FD373F">
        <w:rPr>
          <w:rFonts w:cs="Arial"/>
        </w:rPr>
        <w:t xml:space="preserve"> councils</w:t>
      </w:r>
      <w:r w:rsidR="0036319F" w:rsidRPr="0036319F">
        <w:rPr>
          <w:rFonts w:cs="Arial"/>
        </w:rPr>
        <w:t>, count</w:t>
      </w:r>
      <w:r w:rsidR="00FD373F">
        <w:rPr>
          <w:rFonts w:cs="Arial"/>
        </w:rPr>
        <w:t>y</w:t>
      </w:r>
      <w:r w:rsidR="00E03862">
        <w:rPr>
          <w:rFonts w:cs="Arial"/>
        </w:rPr>
        <w:t xml:space="preserve"> councils</w:t>
      </w:r>
      <w:r w:rsidR="0036319F" w:rsidRPr="0036319F">
        <w:rPr>
          <w:rFonts w:cs="Arial"/>
        </w:rPr>
        <w:t>, metropolitan districts and London boroughs</w:t>
      </w:r>
      <w:r w:rsidR="0036319F">
        <w:rPr>
          <w:rFonts w:cs="Arial"/>
        </w:rPr>
        <w:t>.</w:t>
      </w:r>
    </w:p>
    <w:p w14:paraId="5794B4C8" w14:textId="5CD9103A" w:rsidR="0036319F" w:rsidRDefault="0036319F" w:rsidP="001C5013">
      <w:pPr>
        <w:pStyle w:val="Bodytextnumbered"/>
        <w:spacing w:before="240"/>
        <w:jc w:val="both"/>
        <w:rPr>
          <w:rFonts w:cs="Arial"/>
        </w:rPr>
      </w:pPr>
      <w:r>
        <w:rPr>
          <w:rFonts w:cs="Arial"/>
        </w:rPr>
        <w:t xml:space="preserve">The consultation asked for </w:t>
      </w:r>
      <w:r w:rsidR="00C75A9C">
        <w:rPr>
          <w:rFonts w:cs="Arial"/>
        </w:rPr>
        <w:t>feedback on</w:t>
      </w:r>
      <w:r>
        <w:rPr>
          <w:rFonts w:cs="Arial"/>
        </w:rPr>
        <w:t xml:space="preserve"> five questions, as well as providing the opportunity to make general comments</w:t>
      </w:r>
      <w:r w:rsidR="004322A0">
        <w:rPr>
          <w:rFonts w:cs="Arial"/>
        </w:rPr>
        <w:t>. The five questions and the proportion of positive responses in each case were</w:t>
      </w:r>
      <w:r>
        <w:rPr>
          <w:rFonts w:cs="Arial"/>
        </w:rPr>
        <w:t>:</w:t>
      </w:r>
    </w:p>
    <w:p w14:paraId="7CE28B78" w14:textId="77777777" w:rsidR="00C27061" w:rsidRDefault="00C27061" w:rsidP="00C27061">
      <w:pPr>
        <w:pStyle w:val="Bodytextnumbered"/>
        <w:spacing w:before="0"/>
        <w:jc w:val="both"/>
        <w:rPr>
          <w:rFonts w:cs="Arial"/>
          <w:lang w:val="en-GB"/>
        </w:rPr>
      </w:pPr>
    </w:p>
    <w:tbl>
      <w:tblPr>
        <w:tblW w:w="10065" w:type="dxa"/>
        <w:tblInd w:w="-5" w:type="dxa"/>
        <w:tblLayout w:type="fixed"/>
        <w:tblLook w:val="04A0" w:firstRow="1" w:lastRow="0" w:firstColumn="1" w:lastColumn="0" w:noHBand="0" w:noVBand="1"/>
      </w:tblPr>
      <w:tblGrid>
        <w:gridCol w:w="9072"/>
        <w:gridCol w:w="993"/>
      </w:tblGrid>
      <w:tr w:rsidR="000939A2" w:rsidRPr="000939A2" w14:paraId="7796034D" w14:textId="77777777" w:rsidTr="000939A2">
        <w:trPr>
          <w:trHeight w:val="600"/>
          <w:tblHeader/>
        </w:trPr>
        <w:tc>
          <w:tcPr>
            <w:tcW w:w="9072" w:type="dxa"/>
            <w:tcBorders>
              <w:top w:val="single" w:sz="4" w:space="0" w:color="auto"/>
              <w:left w:val="single" w:sz="4" w:space="0" w:color="auto"/>
              <w:bottom w:val="single" w:sz="4" w:space="0" w:color="auto"/>
              <w:right w:val="single" w:sz="4" w:space="0" w:color="auto"/>
            </w:tcBorders>
            <w:shd w:val="clear" w:color="auto" w:fill="0070C0"/>
            <w:hideMark/>
          </w:tcPr>
          <w:p w14:paraId="637E310A" w14:textId="34E3A042" w:rsidR="000939A2" w:rsidRPr="000E07EA" w:rsidRDefault="000939A2" w:rsidP="00DE2CD7">
            <w:pPr>
              <w:keepNext/>
              <w:spacing w:after="0" w:line="240" w:lineRule="auto"/>
              <w:rPr>
                <w:rFonts w:ascii="Arial" w:eastAsia="Calibri" w:hAnsi="Arial" w:cs="Arial"/>
                <w:b/>
                <w:bCs/>
                <w:color w:val="FFFFFF" w:themeColor="background1"/>
                <w:lang w:eastAsia="en-GB"/>
              </w:rPr>
            </w:pPr>
            <w:r w:rsidRPr="000E07EA">
              <w:rPr>
                <w:rFonts w:ascii="Arial" w:eastAsia="Calibri" w:hAnsi="Arial" w:cs="Arial"/>
                <w:b/>
                <w:bCs/>
                <w:color w:val="FFFFFF" w:themeColor="background1"/>
                <w:lang w:eastAsia="en-GB"/>
              </w:rPr>
              <w:t>Question</w:t>
            </w:r>
          </w:p>
        </w:tc>
        <w:tc>
          <w:tcPr>
            <w:tcW w:w="993" w:type="dxa"/>
            <w:tcBorders>
              <w:top w:val="single" w:sz="4" w:space="0" w:color="auto"/>
              <w:left w:val="nil"/>
              <w:bottom w:val="single" w:sz="4" w:space="0" w:color="auto"/>
              <w:right w:val="single" w:sz="4" w:space="0" w:color="auto"/>
            </w:tcBorders>
            <w:shd w:val="clear" w:color="auto" w:fill="0070C0"/>
            <w:noWrap/>
            <w:hideMark/>
          </w:tcPr>
          <w:p w14:paraId="43A04C25" w14:textId="77777777" w:rsidR="000939A2" w:rsidRPr="000E07EA" w:rsidRDefault="000939A2" w:rsidP="00DE2CD7">
            <w:pPr>
              <w:keepNext/>
              <w:spacing w:after="0" w:line="240" w:lineRule="auto"/>
              <w:rPr>
                <w:rFonts w:ascii="Arial" w:eastAsia="Calibri" w:hAnsi="Arial" w:cs="Arial"/>
                <w:b/>
                <w:bCs/>
                <w:color w:val="FFFFFF" w:themeColor="background1"/>
                <w:lang w:eastAsia="en-GB"/>
              </w:rPr>
            </w:pPr>
            <w:r w:rsidRPr="000E07EA">
              <w:rPr>
                <w:rFonts w:ascii="Arial" w:eastAsia="Calibri" w:hAnsi="Arial" w:cs="Arial"/>
                <w:b/>
                <w:bCs/>
                <w:color w:val="FFFFFF" w:themeColor="background1"/>
                <w:lang w:eastAsia="en-GB"/>
              </w:rPr>
              <w:t>% Yes</w:t>
            </w:r>
          </w:p>
        </w:tc>
      </w:tr>
      <w:tr w:rsidR="000939A2" w:rsidRPr="000939A2" w14:paraId="52B10024" w14:textId="77777777" w:rsidTr="000939A2">
        <w:trPr>
          <w:trHeight w:val="669"/>
        </w:trPr>
        <w:tc>
          <w:tcPr>
            <w:tcW w:w="9072" w:type="dxa"/>
            <w:tcBorders>
              <w:top w:val="nil"/>
              <w:left w:val="single" w:sz="4" w:space="0" w:color="auto"/>
              <w:bottom w:val="single" w:sz="4" w:space="0" w:color="auto"/>
              <w:right w:val="single" w:sz="4" w:space="0" w:color="auto"/>
            </w:tcBorders>
            <w:shd w:val="clear" w:color="auto" w:fill="auto"/>
            <w:hideMark/>
          </w:tcPr>
          <w:p w14:paraId="51099556" w14:textId="77777777" w:rsidR="000939A2" w:rsidRPr="000E07EA" w:rsidRDefault="000939A2" w:rsidP="000939A2">
            <w:pPr>
              <w:pStyle w:val="ListParagraph"/>
              <w:numPr>
                <w:ilvl w:val="0"/>
                <w:numId w:val="15"/>
              </w:numPr>
              <w:spacing w:after="0" w:line="240" w:lineRule="auto"/>
              <w:rPr>
                <w:rFonts w:ascii="Arial" w:eastAsia="Times New Roman" w:hAnsi="Arial" w:cs="Arial"/>
                <w:color w:val="333333"/>
                <w:lang w:eastAsia="en-GB"/>
              </w:rPr>
            </w:pPr>
            <w:r w:rsidRPr="000E07EA">
              <w:rPr>
                <w:rFonts w:ascii="Arial" w:eastAsia="Times New Roman" w:hAnsi="Arial" w:cs="Arial"/>
                <w:color w:val="333333"/>
                <w:lang w:eastAsia="en-GB"/>
              </w:rPr>
              <w:t>Do you agree that fee variation arrangements should be changed to improve the efficiency of the process and to help manage the pressures on senior finance staff and auditors?</w:t>
            </w:r>
          </w:p>
        </w:tc>
        <w:tc>
          <w:tcPr>
            <w:tcW w:w="993" w:type="dxa"/>
            <w:tcBorders>
              <w:top w:val="nil"/>
              <w:left w:val="nil"/>
              <w:bottom w:val="single" w:sz="4" w:space="0" w:color="auto"/>
              <w:right w:val="single" w:sz="4" w:space="0" w:color="auto"/>
            </w:tcBorders>
            <w:shd w:val="clear" w:color="auto" w:fill="auto"/>
            <w:noWrap/>
            <w:hideMark/>
          </w:tcPr>
          <w:p w14:paraId="46BCC3D1" w14:textId="77777777" w:rsidR="000939A2" w:rsidRPr="000E07EA" w:rsidRDefault="000939A2" w:rsidP="00DE2CD7">
            <w:pPr>
              <w:spacing w:after="0" w:line="240" w:lineRule="auto"/>
              <w:jc w:val="right"/>
              <w:rPr>
                <w:rFonts w:ascii="Arial" w:eastAsia="Times New Roman" w:hAnsi="Arial" w:cs="Arial"/>
                <w:color w:val="000000"/>
                <w:lang w:eastAsia="en-GB"/>
              </w:rPr>
            </w:pPr>
            <w:r w:rsidRPr="000E07EA">
              <w:rPr>
                <w:rFonts w:ascii="Arial" w:eastAsia="Times New Roman" w:hAnsi="Arial" w:cs="Arial"/>
                <w:color w:val="000000"/>
                <w:lang w:eastAsia="en-GB"/>
              </w:rPr>
              <w:t>94%</w:t>
            </w:r>
          </w:p>
        </w:tc>
      </w:tr>
      <w:tr w:rsidR="000939A2" w:rsidRPr="000939A2" w14:paraId="526CEDEA" w14:textId="77777777" w:rsidTr="000939A2">
        <w:trPr>
          <w:trHeight w:val="613"/>
        </w:trPr>
        <w:tc>
          <w:tcPr>
            <w:tcW w:w="9072" w:type="dxa"/>
            <w:tcBorders>
              <w:top w:val="nil"/>
              <w:left w:val="single" w:sz="4" w:space="0" w:color="auto"/>
              <w:bottom w:val="single" w:sz="4" w:space="0" w:color="auto"/>
              <w:right w:val="single" w:sz="4" w:space="0" w:color="auto"/>
            </w:tcBorders>
            <w:shd w:val="clear" w:color="auto" w:fill="auto"/>
            <w:hideMark/>
          </w:tcPr>
          <w:p w14:paraId="6B5F4F66" w14:textId="77777777" w:rsidR="000939A2" w:rsidRPr="000E07EA" w:rsidRDefault="000939A2" w:rsidP="000939A2">
            <w:pPr>
              <w:pStyle w:val="ListParagraph"/>
              <w:numPr>
                <w:ilvl w:val="0"/>
                <w:numId w:val="15"/>
              </w:numPr>
              <w:spacing w:after="0" w:line="240" w:lineRule="auto"/>
              <w:rPr>
                <w:rFonts w:ascii="Arial" w:eastAsia="Times New Roman" w:hAnsi="Arial" w:cs="Arial"/>
                <w:color w:val="333333"/>
                <w:lang w:eastAsia="en-GB"/>
              </w:rPr>
            </w:pPr>
            <w:r w:rsidRPr="000E07EA">
              <w:rPr>
                <w:rFonts w:ascii="Arial" w:eastAsia="Times New Roman" w:hAnsi="Arial" w:cs="Arial"/>
                <w:color w:val="333333"/>
                <w:lang w:eastAsia="en-GB"/>
              </w:rPr>
              <w:t>Do you agree that a system based on two distinct categories - national variations and local variations - would be a logical approach?</w:t>
            </w:r>
          </w:p>
        </w:tc>
        <w:tc>
          <w:tcPr>
            <w:tcW w:w="993" w:type="dxa"/>
            <w:tcBorders>
              <w:top w:val="nil"/>
              <w:left w:val="nil"/>
              <w:bottom w:val="single" w:sz="4" w:space="0" w:color="auto"/>
              <w:right w:val="single" w:sz="4" w:space="0" w:color="auto"/>
            </w:tcBorders>
            <w:shd w:val="clear" w:color="auto" w:fill="auto"/>
            <w:noWrap/>
            <w:hideMark/>
          </w:tcPr>
          <w:p w14:paraId="63F1E862" w14:textId="77777777" w:rsidR="000939A2" w:rsidRPr="000E07EA" w:rsidRDefault="000939A2" w:rsidP="00DE2CD7">
            <w:pPr>
              <w:spacing w:after="0" w:line="240" w:lineRule="auto"/>
              <w:jc w:val="right"/>
              <w:rPr>
                <w:rFonts w:ascii="Arial" w:eastAsia="Times New Roman" w:hAnsi="Arial" w:cs="Arial"/>
                <w:color w:val="000000"/>
                <w:lang w:eastAsia="en-GB"/>
              </w:rPr>
            </w:pPr>
            <w:r w:rsidRPr="000E07EA">
              <w:rPr>
                <w:rFonts w:ascii="Arial" w:eastAsia="Times New Roman" w:hAnsi="Arial" w:cs="Arial"/>
                <w:color w:val="000000"/>
                <w:lang w:eastAsia="en-GB"/>
              </w:rPr>
              <w:t>94%</w:t>
            </w:r>
          </w:p>
        </w:tc>
      </w:tr>
      <w:tr w:rsidR="000939A2" w:rsidRPr="000939A2" w14:paraId="6E43E974" w14:textId="77777777" w:rsidTr="000939A2">
        <w:trPr>
          <w:trHeight w:val="849"/>
        </w:trPr>
        <w:tc>
          <w:tcPr>
            <w:tcW w:w="9072" w:type="dxa"/>
            <w:tcBorders>
              <w:top w:val="nil"/>
              <w:left w:val="single" w:sz="4" w:space="0" w:color="auto"/>
              <w:bottom w:val="single" w:sz="4" w:space="0" w:color="auto"/>
              <w:right w:val="single" w:sz="4" w:space="0" w:color="auto"/>
            </w:tcBorders>
            <w:shd w:val="clear" w:color="auto" w:fill="auto"/>
            <w:hideMark/>
          </w:tcPr>
          <w:p w14:paraId="37EFFC94" w14:textId="77777777" w:rsidR="000939A2" w:rsidRPr="000E07EA" w:rsidRDefault="000939A2" w:rsidP="000939A2">
            <w:pPr>
              <w:pStyle w:val="ListParagraph"/>
              <w:numPr>
                <w:ilvl w:val="0"/>
                <w:numId w:val="15"/>
              </w:numPr>
              <w:spacing w:after="0" w:line="240" w:lineRule="auto"/>
              <w:rPr>
                <w:rFonts w:ascii="Arial" w:eastAsia="Times New Roman" w:hAnsi="Arial" w:cs="Arial"/>
                <w:color w:val="333333"/>
                <w:lang w:eastAsia="en-GB"/>
              </w:rPr>
            </w:pPr>
            <w:r w:rsidRPr="000E07EA">
              <w:rPr>
                <w:rFonts w:ascii="Arial" w:eastAsia="Times New Roman" w:hAnsi="Arial" w:cs="Arial"/>
                <w:color w:val="333333"/>
                <w:lang w:eastAsia="en-GB"/>
              </w:rPr>
              <w:t>Do you agree that PSAA should lead on national variations, carrying out research to enable it to assess appropriate additional fees for groups of bodies with similar characteristics, with appropriate consultation?</w:t>
            </w:r>
          </w:p>
        </w:tc>
        <w:tc>
          <w:tcPr>
            <w:tcW w:w="993" w:type="dxa"/>
            <w:tcBorders>
              <w:top w:val="nil"/>
              <w:left w:val="nil"/>
              <w:bottom w:val="single" w:sz="4" w:space="0" w:color="auto"/>
              <w:right w:val="single" w:sz="4" w:space="0" w:color="auto"/>
            </w:tcBorders>
            <w:shd w:val="clear" w:color="auto" w:fill="auto"/>
            <w:noWrap/>
            <w:hideMark/>
          </w:tcPr>
          <w:p w14:paraId="312186FA" w14:textId="77777777" w:rsidR="000939A2" w:rsidRPr="000E07EA" w:rsidRDefault="000939A2" w:rsidP="00DE2CD7">
            <w:pPr>
              <w:spacing w:after="0" w:line="240" w:lineRule="auto"/>
              <w:jc w:val="right"/>
              <w:rPr>
                <w:rFonts w:ascii="Arial" w:eastAsia="Times New Roman" w:hAnsi="Arial" w:cs="Arial"/>
                <w:color w:val="000000"/>
                <w:lang w:eastAsia="en-GB"/>
              </w:rPr>
            </w:pPr>
            <w:r w:rsidRPr="000E07EA">
              <w:rPr>
                <w:rFonts w:ascii="Arial" w:eastAsia="Times New Roman" w:hAnsi="Arial" w:cs="Arial"/>
                <w:color w:val="000000"/>
                <w:lang w:eastAsia="en-GB"/>
              </w:rPr>
              <w:t>94%</w:t>
            </w:r>
          </w:p>
        </w:tc>
      </w:tr>
      <w:tr w:rsidR="000939A2" w:rsidRPr="000939A2" w14:paraId="7CC19B35" w14:textId="77777777" w:rsidTr="000939A2">
        <w:trPr>
          <w:trHeight w:val="833"/>
        </w:trPr>
        <w:tc>
          <w:tcPr>
            <w:tcW w:w="9072" w:type="dxa"/>
            <w:tcBorders>
              <w:top w:val="nil"/>
              <w:left w:val="single" w:sz="4" w:space="0" w:color="auto"/>
              <w:bottom w:val="single" w:sz="4" w:space="0" w:color="auto"/>
              <w:right w:val="single" w:sz="4" w:space="0" w:color="auto"/>
            </w:tcBorders>
            <w:shd w:val="clear" w:color="auto" w:fill="auto"/>
            <w:hideMark/>
          </w:tcPr>
          <w:p w14:paraId="3E5FEFAB" w14:textId="77777777" w:rsidR="000939A2" w:rsidRPr="000E07EA" w:rsidRDefault="000939A2" w:rsidP="000939A2">
            <w:pPr>
              <w:pStyle w:val="ListParagraph"/>
              <w:numPr>
                <w:ilvl w:val="0"/>
                <w:numId w:val="15"/>
              </w:numPr>
              <w:spacing w:after="0" w:line="240" w:lineRule="auto"/>
              <w:rPr>
                <w:rFonts w:ascii="Arial" w:eastAsia="Times New Roman" w:hAnsi="Arial" w:cs="Arial"/>
                <w:color w:val="333333"/>
                <w:lang w:eastAsia="en-GB"/>
              </w:rPr>
            </w:pPr>
            <w:r w:rsidRPr="000E07EA">
              <w:rPr>
                <w:rFonts w:ascii="Arial" w:eastAsia="Times New Roman" w:hAnsi="Arial" w:cs="Arial"/>
                <w:color w:val="333333"/>
                <w:lang w:eastAsia="en-GB"/>
              </w:rPr>
              <w:t>Do you agree that local discussions between the auditor and the audited body should continue to be a requirement in relation to additional audit work arising from factors which are specific to a particular audited body?</w:t>
            </w:r>
          </w:p>
        </w:tc>
        <w:tc>
          <w:tcPr>
            <w:tcW w:w="993" w:type="dxa"/>
            <w:tcBorders>
              <w:top w:val="nil"/>
              <w:left w:val="nil"/>
              <w:bottom w:val="single" w:sz="4" w:space="0" w:color="auto"/>
              <w:right w:val="single" w:sz="4" w:space="0" w:color="auto"/>
            </w:tcBorders>
            <w:shd w:val="clear" w:color="auto" w:fill="auto"/>
            <w:noWrap/>
            <w:hideMark/>
          </w:tcPr>
          <w:p w14:paraId="21956E9F" w14:textId="77777777" w:rsidR="000939A2" w:rsidRPr="000E07EA" w:rsidRDefault="000939A2" w:rsidP="00DE2CD7">
            <w:pPr>
              <w:spacing w:after="0" w:line="240" w:lineRule="auto"/>
              <w:jc w:val="right"/>
              <w:rPr>
                <w:rFonts w:ascii="Arial" w:eastAsia="Times New Roman" w:hAnsi="Arial" w:cs="Arial"/>
                <w:color w:val="000000"/>
                <w:lang w:eastAsia="en-GB"/>
              </w:rPr>
            </w:pPr>
            <w:r w:rsidRPr="000E07EA">
              <w:rPr>
                <w:rFonts w:ascii="Arial" w:eastAsia="Times New Roman" w:hAnsi="Arial" w:cs="Arial"/>
                <w:color w:val="000000"/>
                <w:lang w:eastAsia="en-GB"/>
              </w:rPr>
              <w:t>100%</w:t>
            </w:r>
          </w:p>
        </w:tc>
      </w:tr>
      <w:tr w:rsidR="000939A2" w:rsidRPr="00127389" w14:paraId="083FFD78" w14:textId="77777777" w:rsidTr="000939A2">
        <w:trPr>
          <w:trHeight w:val="703"/>
        </w:trPr>
        <w:tc>
          <w:tcPr>
            <w:tcW w:w="9072" w:type="dxa"/>
            <w:tcBorders>
              <w:top w:val="nil"/>
              <w:left w:val="single" w:sz="4" w:space="0" w:color="auto"/>
              <w:bottom w:val="single" w:sz="4" w:space="0" w:color="auto"/>
              <w:right w:val="single" w:sz="4" w:space="0" w:color="auto"/>
            </w:tcBorders>
            <w:shd w:val="clear" w:color="auto" w:fill="auto"/>
            <w:hideMark/>
          </w:tcPr>
          <w:p w14:paraId="2A6C2B1A" w14:textId="77777777" w:rsidR="000939A2" w:rsidRPr="000E07EA" w:rsidRDefault="000939A2" w:rsidP="000939A2">
            <w:pPr>
              <w:pStyle w:val="ListParagraph"/>
              <w:numPr>
                <w:ilvl w:val="0"/>
                <w:numId w:val="15"/>
              </w:numPr>
              <w:spacing w:after="0" w:line="240" w:lineRule="auto"/>
              <w:rPr>
                <w:rFonts w:ascii="Arial" w:eastAsia="Times New Roman" w:hAnsi="Arial" w:cs="Arial"/>
                <w:color w:val="333333"/>
                <w:lang w:eastAsia="en-GB"/>
              </w:rPr>
            </w:pPr>
            <w:r w:rsidRPr="000E07EA">
              <w:rPr>
                <w:rFonts w:ascii="Arial" w:eastAsia="Times New Roman" w:hAnsi="Arial" w:cs="Arial"/>
                <w:color w:val="333333"/>
                <w:lang w:eastAsia="en-GB"/>
              </w:rPr>
              <w:t>Do you agree that the fee rates applicable to fee variations should be increased in recognition of the importance of maintaining a sustainable local audit market?</w:t>
            </w:r>
          </w:p>
        </w:tc>
        <w:tc>
          <w:tcPr>
            <w:tcW w:w="993" w:type="dxa"/>
            <w:tcBorders>
              <w:top w:val="nil"/>
              <w:left w:val="nil"/>
              <w:bottom w:val="single" w:sz="4" w:space="0" w:color="auto"/>
              <w:right w:val="single" w:sz="4" w:space="0" w:color="auto"/>
            </w:tcBorders>
            <w:shd w:val="clear" w:color="auto" w:fill="auto"/>
            <w:noWrap/>
            <w:hideMark/>
          </w:tcPr>
          <w:p w14:paraId="1AD8BFBA" w14:textId="77777777" w:rsidR="000939A2" w:rsidRPr="000E07EA" w:rsidRDefault="000939A2" w:rsidP="00DE2CD7">
            <w:pPr>
              <w:spacing w:after="0" w:line="240" w:lineRule="auto"/>
              <w:jc w:val="right"/>
              <w:rPr>
                <w:rFonts w:ascii="Arial" w:eastAsia="Times New Roman" w:hAnsi="Arial" w:cs="Arial"/>
                <w:color w:val="000000"/>
                <w:lang w:eastAsia="en-GB"/>
              </w:rPr>
            </w:pPr>
            <w:r w:rsidRPr="000E07EA">
              <w:rPr>
                <w:rFonts w:ascii="Arial" w:eastAsia="Times New Roman" w:hAnsi="Arial" w:cs="Arial"/>
                <w:color w:val="000000"/>
                <w:lang w:eastAsia="en-GB"/>
              </w:rPr>
              <w:t>64%</w:t>
            </w:r>
          </w:p>
        </w:tc>
      </w:tr>
    </w:tbl>
    <w:p w14:paraId="4679A005" w14:textId="078F94EE" w:rsidR="00AA1208" w:rsidRPr="00AA1208" w:rsidRDefault="00AA1208" w:rsidP="004322A0">
      <w:pPr>
        <w:pStyle w:val="Bodytextnumbered"/>
        <w:numPr>
          <w:ilvl w:val="0"/>
          <w:numId w:val="16"/>
        </w:numPr>
        <w:spacing w:before="360"/>
        <w:ind w:left="357" w:hanging="357"/>
        <w:jc w:val="both"/>
        <w:rPr>
          <w:b/>
          <w:bCs/>
          <w:color w:val="236995"/>
          <w:sz w:val="24"/>
          <w:szCs w:val="24"/>
        </w:rPr>
      </w:pPr>
      <w:r w:rsidRPr="00AA1208">
        <w:rPr>
          <w:b/>
          <w:bCs/>
          <w:color w:val="236995"/>
          <w:sz w:val="24"/>
          <w:szCs w:val="24"/>
        </w:rPr>
        <w:t>Key themes</w:t>
      </w:r>
      <w:r>
        <w:rPr>
          <w:b/>
          <w:bCs/>
          <w:color w:val="236995"/>
          <w:sz w:val="24"/>
          <w:szCs w:val="24"/>
        </w:rPr>
        <w:t xml:space="preserve"> identified in consultation responses</w:t>
      </w:r>
    </w:p>
    <w:p w14:paraId="3687F7F2" w14:textId="6776F204" w:rsidR="005706AC" w:rsidRDefault="003F41E6" w:rsidP="000240DB">
      <w:pPr>
        <w:pStyle w:val="Bodytextnumbered"/>
        <w:spacing w:before="240"/>
        <w:jc w:val="both"/>
        <w:rPr>
          <w:rFonts w:cs="Arial"/>
          <w:lang w:val="en-GB"/>
        </w:rPr>
      </w:pPr>
      <w:r w:rsidRPr="003F41E6">
        <w:rPr>
          <w:rFonts w:cs="Arial"/>
          <w:lang w:val="en-GB"/>
        </w:rPr>
        <w:t xml:space="preserve">Many </w:t>
      </w:r>
      <w:r w:rsidR="000939A2">
        <w:rPr>
          <w:rFonts w:cs="Arial"/>
          <w:lang w:val="en-GB"/>
        </w:rPr>
        <w:t xml:space="preserve">consultation </w:t>
      </w:r>
      <w:r w:rsidRPr="003F41E6">
        <w:rPr>
          <w:rFonts w:cs="Arial"/>
          <w:lang w:val="en-GB"/>
        </w:rPr>
        <w:t xml:space="preserve">responses provided detailed additional comments for each question and </w:t>
      </w:r>
      <w:r w:rsidR="00AE33D9">
        <w:rPr>
          <w:rFonts w:cs="Arial"/>
          <w:lang w:val="en-GB"/>
        </w:rPr>
        <w:t>on</w:t>
      </w:r>
      <w:r w:rsidRPr="003F41E6">
        <w:rPr>
          <w:rFonts w:cs="Arial"/>
          <w:lang w:val="en-GB"/>
        </w:rPr>
        <w:t xml:space="preserve"> the consultation </w:t>
      </w:r>
      <w:r w:rsidR="00AE33D9">
        <w:rPr>
          <w:rFonts w:cs="Arial"/>
          <w:lang w:val="en-GB"/>
        </w:rPr>
        <w:t>in more general terms</w:t>
      </w:r>
      <w:r w:rsidRPr="003F41E6">
        <w:rPr>
          <w:rFonts w:cs="Arial"/>
          <w:lang w:val="en-GB"/>
        </w:rPr>
        <w:t xml:space="preserve">. </w:t>
      </w:r>
      <w:r w:rsidR="005706AC">
        <w:rPr>
          <w:rFonts w:cs="Arial"/>
          <w:lang w:val="en-GB"/>
        </w:rPr>
        <w:t>While there is clearly overall support for PSAA’s proposals, the comments suggest that stakeholders</w:t>
      </w:r>
      <w:r w:rsidR="00F36E10">
        <w:rPr>
          <w:rFonts w:cs="Arial"/>
          <w:lang w:val="en-GB"/>
        </w:rPr>
        <w:t xml:space="preserve"> may</w:t>
      </w:r>
      <w:r w:rsidR="005706AC">
        <w:rPr>
          <w:rFonts w:cs="Arial"/>
          <w:lang w:val="en-GB"/>
        </w:rPr>
        <w:t xml:space="preserve"> have </w:t>
      </w:r>
      <w:r w:rsidR="004322A0">
        <w:rPr>
          <w:rFonts w:cs="Arial"/>
          <w:lang w:val="en-GB"/>
        </w:rPr>
        <w:t>different</w:t>
      </w:r>
      <w:r w:rsidR="005706AC">
        <w:rPr>
          <w:rFonts w:cs="Arial"/>
          <w:lang w:val="en-GB"/>
        </w:rPr>
        <w:t xml:space="preserve"> views </w:t>
      </w:r>
      <w:r w:rsidR="00514146">
        <w:rPr>
          <w:rFonts w:cs="Arial"/>
          <w:lang w:val="en-GB"/>
        </w:rPr>
        <w:t xml:space="preserve">and concerns </w:t>
      </w:r>
      <w:r w:rsidR="005706AC">
        <w:rPr>
          <w:rFonts w:cs="Arial"/>
          <w:lang w:val="en-GB"/>
        </w:rPr>
        <w:t>about</w:t>
      </w:r>
      <w:r w:rsidR="00514146">
        <w:rPr>
          <w:rFonts w:cs="Arial"/>
          <w:lang w:val="en-GB"/>
        </w:rPr>
        <w:t xml:space="preserve"> aspects of</w:t>
      </w:r>
      <w:r w:rsidR="005706AC">
        <w:rPr>
          <w:rFonts w:cs="Arial"/>
          <w:lang w:val="en-GB"/>
        </w:rPr>
        <w:t xml:space="preserve"> the detail</w:t>
      </w:r>
      <w:r w:rsidR="00F636B7">
        <w:rPr>
          <w:rFonts w:cs="Arial"/>
          <w:lang w:val="en-GB"/>
        </w:rPr>
        <w:t>.</w:t>
      </w:r>
    </w:p>
    <w:p w14:paraId="4B729E2D" w14:textId="77777777" w:rsidR="00F531B7" w:rsidRPr="00F531B7" w:rsidRDefault="00F531B7" w:rsidP="00C75A9C">
      <w:pPr>
        <w:pStyle w:val="Bodytextnumbered"/>
        <w:keepNext/>
        <w:keepLines/>
        <w:spacing w:before="240"/>
        <w:jc w:val="both"/>
        <w:rPr>
          <w:rFonts w:cs="Arial"/>
          <w:b/>
          <w:bCs/>
          <w:lang w:val="en-GB"/>
        </w:rPr>
      </w:pPr>
      <w:r w:rsidRPr="00F531B7">
        <w:rPr>
          <w:rFonts w:cs="Arial"/>
          <w:b/>
          <w:bCs/>
          <w:color w:val="00B0F0"/>
          <w:lang w:val="en-GB"/>
        </w:rPr>
        <w:lastRenderedPageBreak/>
        <w:t>Opted-in bodies</w:t>
      </w:r>
    </w:p>
    <w:p w14:paraId="75879DBD" w14:textId="611BD8FC" w:rsidR="006413A4" w:rsidRDefault="00F636B7" w:rsidP="00C75A9C">
      <w:pPr>
        <w:pStyle w:val="Bodytextnumbered"/>
        <w:keepNext/>
        <w:keepLines/>
        <w:spacing w:before="240"/>
        <w:jc w:val="both"/>
        <w:rPr>
          <w:rFonts w:cs="Arial"/>
          <w:lang w:val="en-GB"/>
        </w:rPr>
      </w:pPr>
      <w:r>
        <w:rPr>
          <w:rFonts w:cs="Arial"/>
          <w:lang w:val="en-GB"/>
        </w:rPr>
        <w:t>In general terms opted-in bodies are s</w:t>
      </w:r>
      <w:r w:rsidR="00AE33D9">
        <w:rPr>
          <w:rFonts w:cs="Arial"/>
          <w:lang w:val="en-GB"/>
        </w:rPr>
        <w:t>u</w:t>
      </w:r>
      <w:r>
        <w:rPr>
          <w:rFonts w:cs="Arial"/>
          <w:lang w:val="en-GB"/>
        </w:rPr>
        <w:t>pportive of the proposals to introduce national fee variations</w:t>
      </w:r>
      <w:r w:rsidR="00F8043B">
        <w:rPr>
          <w:rFonts w:cs="Arial"/>
          <w:lang w:val="en-GB"/>
        </w:rPr>
        <w:t xml:space="preserve"> </w:t>
      </w:r>
      <w:r w:rsidR="00C75A9C">
        <w:rPr>
          <w:rFonts w:cs="Arial"/>
          <w:lang w:val="en-GB"/>
        </w:rPr>
        <w:t>arrangements</w:t>
      </w:r>
      <w:r>
        <w:rPr>
          <w:rFonts w:cs="Arial"/>
          <w:lang w:val="en-GB"/>
        </w:rPr>
        <w:t xml:space="preserve">. </w:t>
      </w:r>
      <w:r w:rsidR="00AD3AB0">
        <w:rPr>
          <w:rFonts w:cs="Arial"/>
          <w:lang w:val="en-GB"/>
        </w:rPr>
        <w:t>They</w:t>
      </w:r>
      <w:r>
        <w:rPr>
          <w:rFonts w:cs="Arial"/>
          <w:lang w:val="en-GB"/>
        </w:rPr>
        <w:t xml:space="preserve"> would like to see the approach applied to as wide a range of topics as possible</w:t>
      </w:r>
      <w:r w:rsidR="00AD3AB0">
        <w:rPr>
          <w:rFonts w:cs="Arial"/>
          <w:lang w:val="en-GB"/>
        </w:rPr>
        <w:t xml:space="preserve"> </w:t>
      </w:r>
      <w:r>
        <w:rPr>
          <w:rFonts w:cs="Arial"/>
          <w:lang w:val="en-GB"/>
        </w:rPr>
        <w:t xml:space="preserve">and would like more information on how </w:t>
      </w:r>
      <w:r w:rsidR="00F8043B">
        <w:rPr>
          <w:rFonts w:cs="Arial"/>
          <w:lang w:val="en-GB"/>
        </w:rPr>
        <w:t>the arrangements</w:t>
      </w:r>
      <w:r>
        <w:rPr>
          <w:rFonts w:cs="Arial"/>
          <w:lang w:val="en-GB"/>
        </w:rPr>
        <w:t xml:space="preserve"> will work</w:t>
      </w:r>
      <w:r w:rsidR="00AE33D9">
        <w:rPr>
          <w:rFonts w:cs="Arial"/>
          <w:lang w:val="en-GB"/>
        </w:rPr>
        <w:t xml:space="preserve"> in practice</w:t>
      </w:r>
      <w:r>
        <w:rPr>
          <w:rFonts w:cs="Arial"/>
          <w:lang w:val="en-GB"/>
        </w:rPr>
        <w:t xml:space="preserve">. </w:t>
      </w:r>
      <w:r w:rsidR="006413A4">
        <w:rPr>
          <w:rFonts w:cs="Arial"/>
          <w:lang w:val="en-GB"/>
        </w:rPr>
        <w:t>There is a contrary view from a small number of bodies that national fee variations are not needed, and that local discussion about additional audit requirements works well for them.</w:t>
      </w:r>
    </w:p>
    <w:p w14:paraId="01CD917C" w14:textId="459D1294" w:rsidR="00F636B7" w:rsidRDefault="00F8043B" w:rsidP="000240DB">
      <w:pPr>
        <w:pStyle w:val="Bodytextnumbered"/>
        <w:spacing w:before="240"/>
        <w:jc w:val="both"/>
        <w:rPr>
          <w:rFonts w:cs="Arial"/>
          <w:lang w:val="en-GB"/>
        </w:rPr>
      </w:pPr>
      <w:r>
        <w:rPr>
          <w:rFonts w:cs="Arial"/>
          <w:lang w:val="en-GB"/>
        </w:rPr>
        <w:t xml:space="preserve">Some consultation responses highlight an expectation that </w:t>
      </w:r>
      <w:r w:rsidR="00AD3AB0">
        <w:rPr>
          <w:rFonts w:cs="Arial"/>
          <w:lang w:val="en-GB"/>
        </w:rPr>
        <w:t xml:space="preserve">national variations </w:t>
      </w:r>
      <w:r>
        <w:rPr>
          <w:rFonts w:cs="Arial"/>
          <w:lang w:val="en-GB"/>
        </w:rPr>
        <w:t>will</w:t>
      </w:r>
      <w:r w:rsidR="00AD3AB0">
        <w:rPr>
          <w:rFonts w:cs="Arial"/>
          <w:lang w:val="en-GB"/>
        </w:rPr>
        <w:t xml:space="preserve"> need to take account of the local circumstances of individual bodies, implying that local discussion about the applicability of any national changes will </w:t>
      </w:r>
      <w:r w:rsidR="00443474">
        <w:rPr>
          <w:rFonts w:cs="Arial"/>
          <w:lang w:val="en-GB"/>
        </w:rPr>
        <w:t>continue to</w:t>
      </w:r>
      <w:r w:rsidR="00AD3AB0">
        <w:rPr>
          <w:rFonts w:cs="Arial"/>
          <w:lang w:val="en-GB"/>
        </w:rPr>
        <w:t xml:space="preserve"> be required. </w:t>
      </w:r>
    </w:p>
    <w:p w14:paraId="76950B8D" w14:textId="33E8B8C1" w:rsidR="006413A4" w:rsidRDefault="006413A4" w:rsidP="000240DB">
      <w:pPr>
        <w:pStyle w:val="Bodytextnumbered"/>
        <w:spacing w:before="240"/>
        <w:jc w:val="both"/>
        <w:rPr>
          <w:rFonts w:cs="Arial"/>
          <w:lang w:val="en-GB"/>
        </w:rPr>
      </w:pPr>
      <w:r>
        <w:rPr>
          <w:rFonts w:cs="Arial"/>
          <w:lang w:val="en-GB"/>
        </w:rPr>
        <w:t xml:space="preserve">All consultation responses confirm that local discussion about additional fees for local changes in </w:t>
      </w:r>
      <w:r w:rsidR="00500B5B">
        <w:rPr>
          <w:rFonts w:cs="Arial"/>
          <w:lang w:val="en-GB"/>
        </w:rPr>
        <w:t>audit risk</w:t>
      </w:r>
      <w:r>
        <w:rPr>
          <w:rFonts w:cs="Arial"/>
          <w:lang w:val="en-GB"/>
        </w:rPr>
        <w:t xml:space="preserve"> should continue.</w:t>
      </w:r>
    </w:p>
    <w:p w14:paraId="66C59A4F" w14:textId="5A9A6F76" w:rsidR="004322A0" w:rsidRDefault="004322A0" w:rsidP="004322A0">
      <w:pPr>
        <w:pStyle w:val="Bodytextnumbered"/>
        <w:spacing w:before="240"/>
        <w:jc w:val="both"/>
        <w:rPr>
          <w:rFonts w:cs="Arial"/>
          <w:lang w:val="en-GB"/>
        </w:rPr>
      </w:pPr>
      <w:r>
        <w:rPr>
          <w:rFonts w:cs="Arial"/>
          <w:lang w:val="en-GB"/>
        </w:rPr>
        <w:t>PSAA has commissioned a programme of research to assess the potential suitability for national determination of a series of forthcoming changes in audit requirements, such as the introduction of IFRS 16 on leases. Where it is possible to determine a national variation, that is a national fee that would be appropriate across all, or groupings of, relevant bodies, we will consult opted-in bodies and other stakeholders on our proposals. Where it is not possible to determine a national variation, we aim to provide information on appropriate fee ranges</w:t>
      </w:r>
      <w:r w:rsidR="00E82203">
        <w:rPr>
          <w:rFonts w:cs="Arial"/>
          <w:lang w:val="en-GB"/>
        </w:rPr>
        <w:t xml:space="preserve"> for</w:t>
      </w:r>
      <w:r w:rsidR="00E82203" w:rsidRPr="00E82203">
        <w:rPr>
          <w:rFonts w:cs="Arial"/>
          <w:lang w:val="en-GB"/>
        </w:rPr>
        <w:t xml:space="preserve"> groups of audited bodies and other factors that may need to be considered</w:t>
      </w:r>
      <w:r w:rsidR="00E82203">
        <w:rPr>
          <w:rFonts w:cs="Arial"/>
          <w:lang w:val="en-GB"/>
        </w:rPr>
        <w:t>.</w:t>
      </w:r>
    </w:p>
    <w:p w14:paraId="754EC0F8" w14:textId="1804EF07" w:rsidR="006413A4" w:rsidRDefault="00500B5B" w:rsidP="000240DB">
      <w:pPr>
        <w:pStyle w:val="Bodytextnumbered"/>
        <w:spacing w:before="240"/>
        <w:jc w:val="both"/>
        <w:rPr>
          <w:rFonts w:cs="Arial"/>
          <w:lang w:val="en-GB"/>
        </w:rPr>
      </w:pPr>
      <w:r>
        <w:rPr>
          <w:rFonts w:cs="Arial"/>
          <w:lang w:val="en-GB"/>
        </w:rPr>
        <w:t xml:space="preserve">While there is overall support for an increase </w:t>
      </w:r>
      <w:r w:rsidR="00443474">
        <w:rPr>
          <w:rFonts w:cs="Arial"/>
          <w:lang w:val="en-GB"/>
        </w:rPr>
        <w:t xml:space="preserve">in </w:t>
      </w:r>
      <w:r>
        <w:rPr>
          <w:rFonts w:cs="Arial"/>
          <w:lang w:val="en-GB"/>
        </w:rPr>
        <w:t xml:space="preserve">the </w:t>
      </w:r>
      <w:r w:rsidR="00443474">
        <w:rPr>
          <w:rFonts w:cs="Arial"/>
          <w:lang w:val="en-GB"/>
        </w:rPr>
        <w:t xml:space="preserve">fee </w:t>
      </w:r>
      <w:r>
        <w:rPr>
          <w:rFonts w:cs="Arial"/>
          <w:lang w:val="en-GB"/>
        </w:rPr>
        <w:t xml:space="preserve">rates applicable to fee variations, there is a broad spectrum of views about </w:t>
      </w:r>
      <w:r w:rsidR="00BC04F3">
        <w:rPr>
          <w:rFonts w:cs="Arial"/>
          <w:lang w:val="en-GB"/>
        </w:rPr>
        <w:t xml:space="preserve">the need for the increase. Some responses recognise that rates </w:t>
      </w:r>
      <w:r w:rsidR="00443474">
        <w:rPr>
          <w:rFonts w:cs="Arial"/>
          <w:lang w:val="en-GB"/>
        </w:rPr>
        <w:t>must be</w:t>
      </w:r>
      <w:r w:rsidR="00BC04F3">
        <w:rPr>
          <w:rFonts w:cs="Arial"/>
          <w:lang w:val="en-GB"/>
        </w:rPr>
        <w:t xml:space="preserve"> consistent with the work auditors need to undertake to discharge their responsibilities, and that securing the sustainability of the local audit market is very important in the longer term. Others are less supportive, questioning the basis o</w:t>
      </w:r>
      <w:r w:rsidR="004322A0">
        <w:rPr>
          <w:rFonts w:cs="Arial"/>
          <w:lang w:val="en-GB"/>
        </w:rPr>
        <w:t>f t</w:t>
      </w:r>
      <w:r w:rsidR="00BC04F3">
        <w:rPr>
          <w:rFonts w:cs="Arial"/>
          <w:lang w:val="en-GB"/>
        </w:rPr>
        <w:t xml:space="preserve">he </w:t>
      </w:r>
      <w:r w:rsidR="004322A0">
        <w:rPr>
          <w:rFonts w:cs="Arial"/>
          <w:lang w:val="en-GB"/>
        </w:rPr>
        <w:t>propos</w:t>
      </w:r>
      <w:r w:rsidR="00514146">
        <w:rPr>
          <w:rFonts w:cs="Arial"/>
          <w:lang w:val="en-GB"/>
        </w:rPr>
        <w:t>al</w:t>
      </w:r>
      <w:r w:rsidR="004322A0">
        <w:rPr>
          <w:rFonts w:cs="Arial"/>
          <w:lang w:val="en-GB"/>
        </w:rPr>
        <w:t xml:space="preserve"> </w:t>
      </w:r>
      <w:r w:rsidR="00BC04F3">
        <w:rPr>
          <w:rFonts w:cs="Arial"/>
          <w:lang w:val="en-GB"/>
        </w:rPr>
        <w:t xml:space="preserve">and reflecting on the challenging financial circumstances for local government bodies and the delays experienced </w:t>
      </w:r>
      <w:r w:rsidR="001C2FB3">
        <w:rPr>
          <w:rFonts w:cs="Arial"/>
          <w:lang w:val="en-GB"/>
        </w:rPr>
        <w:t xml:space="preserve">in </w:t>
      </w:r>
      <w:r w:rsidR="00BC04F3">
        <w:rPr>
          <w:rFonts w:cs="Arial"/>
          <w:lang w:val="en-GB"/>
        </w:rPr>
        <w:t xml:space="preserve">recent </w:t>
      </w:r>
      <w:r w:rsidR="001C2FB3">
        <w:rPr>
          <w:rFonts w:cs="Arial"/>
          <w:lang w:val="en-GB"/>
        </w:rPr>
        <w:t xml:space="preserve">years </w:t>
      </w:r>
      <w:r w:rsidR="00BC04F3">
        <w:rPr>
          <w:rFonts w:cs="Arial"/>
          <w:lang w:val="en-GB"/>
        </w:rPr>
        <w:t xml:space="preserve">in finalising audits.  </w:t>
      </w:r>
    </w:p>
    <w:p w14:paraId="04585059" w14:textId="77777777" w:rsidR="00F531B7" w:rsidRPr="00F531B7" w:rsidRDefault="00F531B7" w:rsidP="000240DB">
      <w:pPr>
        <w:pStyle w:val="Bodytextnumbered"/>
        <w:spacing w:before="240"/>
        <w:jc w:val="both"/>
        <w:rPr>
          <w:rFonts w:cs="Arial"/>
          <w:b/>
          <w:bCs/>
          <w:color w:val="00B0F0"/>
          <w:lang w:val="en-GB"/>
        </w:rPr>
      </w:pPr>
      <w:r w:rsidRPr="00F531B7">
        <w:rPr>
          <w:rFonts w:cs="Arial"/>
          <w:b/>
          <w:bCs/>
          <w:color w:val="00B0F0"/>
          <w:lang w:val="en-GB"/>
        </w:rPr>
        <w:t>Audit firms</w:t>
      </w:r>
    </w:p>
    <w:p w14:paraId="6487B805" w14:textId="2B0B97C2" w:rsidR="00AE02C4" w:rsidRDefault="00F636B7" w:rsidP="000240DB">
      <w:pPr>
        <w:pStyle w:val="Bodytextnumbered"/>
        <w:spacing w:before="240"/>
        <w:jc w:val="both"/>
        <w:rPr>
          <w:rFonts w:cs="Arial"/>
          <w:lang w:val="en-GB"/>
        </w:rPr>
      </w:pPr>
      <w:r>
        <w:rPr>
          <w:rFonts w:cs="Arial"/>
          <w:lang w:val="en-GB"/>
        </w:rPr>
        <w:t xml:space="preserve">Audit firms are also generally supportive of the </w:t>
      </w:r>
      <w:r w:rsidR="00AE02C4">
        <w:rPr>
          <w:rFonts w:cs="Arial"/>
          <w:lang w:val="en-GB"/>
        </w:rPr>
        <w:t>consultation proposals</w:t>
      </w:r>
      <w:r w:rsidR="001C2FB3">
        <w:rPr>
          <w:rFonts w:cs="Arial"/>
          <w:lang w:val="en-GB"/>
        </w:rPr>
        <w:t>, seeing them as logical</w:t>
      </w:r>
      <w:r w:rsidR="00AE02C4">
        <w:rPr>
          <w:rFonts w:cs="Arial"/>
          <w:lang w:val="en-GB"/>
        </w:rPr>
        <w:t xml:space="preserve"> </w:t>
      </w:r>
      <w:r w:rsidR="00F531B7">
        <w:rPr>
          <w:rFonts w:cs="Arial"/>
          <w:lang w:val="en-GB"/>
        </w:rPr>
        <w:t>and welcom</w:t>
      </w:r>
      <w:r w:rsidR="00383AEC">
        <w:rPr>
          <w:rFonts w:cs="Arial"/>
          <w:lang w:val="en-GB"/>
        </w:rPr>
        <w:t>ing</w:t>
      </w:r>
      <w:r w:rsidR="00313338">
        <w:rPr>
          <w:rFonts w:cs="Arial"/>
          <w:lang w:val="en-GB"/>
        </w:rPr>
        <w:t xml:space="preserve"> the aim of improving</w:t>
      </w:r>
      <w:r w:rsidR="00F531B7">
        <w:rPr>
          <w:rFonts w:cs="Arial"/>
          <w:lang w:val="en-GB"/>
        </w:rPr>
        <w:t xml:space="preserve"> efficiency in the process of </w:t>
      </w:r>
      <w:r w:rsidR="00383AEC">
        <w:rPr>
          <w:rFonts w:cs="Arial"/>
          <w:lang w:val="en-GB"/>
        </w:rPr>
        <w:t xml:space="preserve">determining additional </w:t>
      </w:r>
      <w:r w:rsidR="00F531B7">
        <w:rPr>
          <w:rFonts w:cs="Arial"/>
          <w:lang w:val="en-GB"/>
        </w:rPr>
        <w:t xml:space="preserve">fees for additional work. </w:t>
      </w:r>
      <w:r w:rsidR="001C2FB3">
        <w:rPr>
          <w:rFonts w:cs="Arial"/>
          <w:lang w:val="en-GB"/>
        </w:rPr>
        <w:t xml:space="preserve">They highlight their concerns about the time </w:t>
      </w:r>
      <w:r w:rsidR="00443474">
        <w:rPr>
          <w:rFonts w:cs="Arial"/>
          <w:lang w:val="en-GB"/>
        </w:rPr>
        <w:t xml:space="preserve">and effort </w:t>
      </w:r>
      <w:r w:rsidR="001C2FB3">
        <w:rPr>
          <w:rFonts w:cs="Arial"/>
          <w:lang w:val="en-GB"/>
        </w:rPr>
        <w:t>currently involved in local discussions about additional fees and the time it takes for PSAA to challenge and</w:t>
      </w:r>
      <w:r w:rsidR="00962B7B">
        <w:rPr>
          <w:rFonts w:cs="Arial"/>
          <w:lang w:val="en-GB"/>
        </w:rPr>
        <w:t>, ultimately,</w:t>
      </w:r>
      <w:r w:rsidR="001C2FB3">
        <w:rPr>
          <w:rFonts w:cs="Arial"/>
          <w:lang w:val="en-GB"/>
        </w:rPr>
        <w:t xml:space="preserve"> determine local fee variation</w:t>
      </w:r>
      <w:r w:rsidR="00443474">
        <w:rPr>
          <w:rFonts w:cs="Arial"/>
          <w:lang w:val="en-GB"/>
        </w:rPr>
        <w:t xml:space="preserve"> requests</w:t>
      </w:r>
      <w:r w:rsidR="001C2FB3">
        <w:rPr>
          <w:rFonts w:cs="Arial"/>
          <w:lang w:val="en-GB"/>
        </w:rPr>
        <w:t xml:space="preserve">. </w:t>
      </w:r>
      <w:r w:rsidR="008A19AA">
        <w:rPr>
          <w:rFonts w:cs="Arial"/>
          <w:lang w:val="en-GB"/>
        </w:rPr>
        <w:t>Two</w:t>
      </w:r>
      <w:r w:rsidR="001C2FB3">
        <w:rPr>
          <w:rFonts w:cs="Arial"/>
          <w:lang w:val="en-GB"/>
        </w:rPr>
        <w:t xml:space="preserve"> firms suggest that where opted-in bodies and firms agree on additional fees, it should not be necessary to seek PSAA approval</w:t>
      </w:r>
      <w:r w:rsidR="00443474">
        <w:rPr>
          <w:rFonts w:cs="Arial"/>
          <w:lang w:val="en-GB"/>
        </w:rPr>
        <w:t xml:space="preserve">. </w:t>
      </w:r>
    </w:p>
    <w:p w14:paraId="6CDF3C55" w14:textId="7E964196" w:rsidR="00313338" w:rsidRDefault="00313338" w:rsidP="000240DB">
      <w:pPr>
        <w:pStyle w:val="Bodytextnumbered"/>
        <w:spacing w:before="240"/>
        <w:jc w:val="both"/>
        <w:rPr>
          <w:rFonts w:cs="Arial"/>
          <w:lang w:val="en-GB"/>
        </w:rPr>
      </w:pPr>
      <w:r>
        <w:rPr>
          <w:rFonts w:cs="Arial"/>
          <w:lang w:val="en-GB"/>
        </w:rPr>
        <w:t xml:space="preserve">While they support the proposed increase in the fee rates for variations, the firms </w:t>
      </w:r>
      <w:r w:rsidR="008A19AA">
        <w:rPr>
          <w:rFonts w:cs="Arial"/>
          <w:lang w:val="en-GB"/>
        </w:rPr>
        <w:t xml:space="preserve">are unanimous that the proposed increase </w:t>
      </w:r>
      <w:r>
        <w:rPr>
          <w:rFonts w:cs="Arial"/>
          <w:lang w:val="en-GB"/>
        </w:rPr>
        <w:t xml:space="preserve">is not sufficient to </w:t>
      </w:r>
      <w:r w:rsidR="008A19AA">
        <w:rPr>
          <w:rFonts w:cs="Arial"/>
          <w:lang w:val="en-GB"/>
        </w:rPr>
        <w:t>address their concerns</w:t>
      </w:r>
      <w:r w:rsidR="00617718">
        <w:rPr>
          <w:rFonts w:cs="Arial"/>
          <w:lang w:val="en-GB"/>
        </w:rPr>
        <w:t>. Firms pointed out that additional work often relates to more complex or higher risk areas and can require i</w:t>
      </w:r>
      <w:r>
        <w:rPr>
          <w:rFonts w:cs="Arial"/>
          <w:lang w:val="en-GB"/>
        </w:rPr>
        <w:t>nput from specialists</w:t>
      </w:r>
      <w:r w:rsidR="00617718">
        <w:rPr>
          <w:rFonts w:cs="Arial"/>
          <w:lang w:val="en-GB"/>
        </w:rPr>
        <w:t xml:space="preserve">, which has an impact on </w:t>
      </w:r>
      <w:r w:rsidR="00A14F6A">
        <w:rPr>
          <w:rFonts w:cs="Arial"/>
          <w:lang w:val="en-GB"/>
        </w:rPr>
        <w:t>fees</w:t>
      </w:r>
      <w:r>
        <w:rPr>
          <w:rFonts w:cs="Arial"/>
          <w:lang w:val="en-GB"/>
        </w:rPr>
        <w:t>.</w:t>
      </w:r>
    </w:p>
    <w:p w14:paraId="1C63D720" w14:textId="01E98279" w:rsidR="00F531B7" w:rsidRPr="00F531B7" w:rsidRDefault="00F531B7" w:rsidP="000240DB">
      <w:pPr>
        <w:pStyle w:val="Bodytextnumbered"/>
        <w:spacing w:before="240"/>
        <w:jc w:val="both"/>
        <w:rPr>
          <w:rFonts w:cs="Arial"/>
          <w:b/>
          <w:bCs/>
          <w:color w:val="00B0F0"/>
          <w:lang w:val="en-GB"/>
        </w:rPr>
      </w:pPr>
      <w:r w:rsidRPr="00F531B7">
        <w:rPr>
          <w:rFonts w:cs="Arial"/>
          <w:b/>
          <w:bCs/>
          <w:color w:val="00B0F0"/>
          <w:lang w:val="en-GB"/>
        </w:rPr>
        <w:t>Other stakeholders</w:t>
      </w:r>
    </w:p>
    <w:p w14:paraId="763F0B4F" w14:textId="7AA05EAE" w:rsidR="00F531B7" w:rsidRDefault="00523B4E" w:rsidP="000240DB">
      <w:pPr>
        <w:pStyle w:val="Bodytextnumbered"/>
        <w:spacing w:before="240"/>
        <w:jc w:val="both"/>
        <w:rPr>
          <w:rFonts w:cs="Arial"/>
          <w:lang w:val="en-GB"/>
        </w:rPr>
      </w:pPr>
      <w:r>
        <w:rPr>
          <w:rFonts w:cs="Arial"/>
          <w:lang w:val="en-GB"/>
        </w:rPr>
        <w:t>The</w:t>
      </w:r>
      <w:r w:rsidR="008A19AA">
        <w:rPr>
          <w:rFonts w:cs="Arial"/>
          <w:lang w:val="en-GB"/>
        </w:rPr>
        <w:t xml:space="preserve"> main group in this category of responses is the representative organisations for local government bodies. These consultation responses provide opposing views, from those which are supportive of PSAA’s proposals to those that </w:t>
      </w:r>
      <w:r w:rsidR="00531FDF">
        <w:rPr>
          <w:rFonts w:cs="Arial"/>
          <w:lang w:val="en-GB"/>
        </w:rPr>
        <w:t>are</w:t>
      </w:r>
      <w:r w:rsidR="008A19AA">
        <w:rPr>
          <w:rFonts w:cs="Arial"/>
          <w:lang w:val="en-GB"/>
        </w:rPr>
        <w:t xml:space="preserve"> not. Responses on behalf of </w:t>
      </w:r>
      <w:r w:rsidR="00962B7B">
        <w:rPr>
          <w:rFonts w:cs="Arial"/>
          <w:lang w:val="en-GB"/>
        </w:rPr>
        <w:t xml:space="preserve">organisations representing </w:t>
      </w:r>
      <w:r w:rsidR="008A19AA">
        <w:rPr>
          <w:rFonts w:cs="Arial"/>
          <w:lang w:val="en-GB"/>
        </w:rPr>
        <w:t xml:space="preserve">district councils do not support the proposed introduction of national </w:t>
      </w:r>
      <w:r w:rsidR="00531FDF">
        <w:rPr>
          <w:rFonts w:cs="Arial"/>
          <w:lang w:val="en-GB"/>
        </w:rPr>
        <w:t xml:space="preserve">fee </w:t>
      </w:r>
      <w:r w:rsidR="008A19AA">
        <w:rPr>
          <w:rFonts w:cs="Arial"/>
          <w:lang w:val="en-GB"/>
        </w:rPr>
        <w:t xml:space="preserve">variations arrangements or the increase in fee rates for variations.  </w:t>
      </w:r>
    </w:p>
    <w:p w14:paraId="570A6460" w14:textId="1EAAF08F" w:rsidR="008A19AA" w:rsidRPr="008A19AA" w:rsidRDefault="008A19AA" w:rsidP="000240DB">
      <w:pPr>
        <w:pStyle w:val="Bodytextnumbered"/>
        <w:spacing w:before="240"/>
        <w:jc w:val="both"/>
        <w:rPr>
          <w:rFonts w:cs="Arial"/>
          <w:b/>
          <w:bCs/>
          <w:color w:val="00B0F0"/>
          <w:lang w:val="en-GB"/>
        </w:rPr>
      </w:pPr>
      <w:r w:rsidRPr="008A19AA">
        <w:rPr>
          <w:rFonts w:cs="Arial"/>
          <w:b/>
          <w:bCs/>
          <w:color w:val="00B0F0"/>
          <w:lang w:val="en-GB"/>
        </w:rPr>
        <w:lastRenderedPageBreak/>
        <w:t>Key themes</w:t>
      </w:r>
    </w:p>
    <w:p w14:paraId="61171A04" w14:textId="1B75D000" w:rsidR="008A19AA" w:rsidRPr="008A19AA" w:rsidRDefault="008A19AA" w:rsidP="0074614B">
      <w:pPr>
        <w:pStyle w:val="Bodytextnumbered"/>
        <w:spacing w:before="120"/>
        <w:jc w:val="both"/>
        <w:rPr>
          <w:rFonts w:cs="Arial"/>
          <w:lang w:val="en-GB"/>
        </w:rPr>
      </w:pPr>
      <w:r w:rsidRPr="008A19AA">
        <w:rPr>
          <w:rFonts w:cs="Arial"/>
          <w:lang w:val="en-GB"/>
        </w:rPr>
        <w:t>The key themes raised in responses to the consultation are summarised in the table below.</w:t>
      </w:r>
    </w:p>
    <w:p w14:paraId="2AFEE0AE" w14:textId="1EDB60A3" w:rsidR="005706AC" w:rsidRPr="005706AC" w:rsidRDefault="005706AC" w:rsidP="0074614B">
      <w:pPr>
        <w:pStyle w:val="Bodytextnumbered"/>
        <w:spacing w:before="120"/>
        <w:jc w:val="both"/>
        <w:rPr>
          <w:rFonts w:cs="Arial"/>
          <w:b/>
          <w:bCs/>
          <w:lang w:val="en-GB"/>
        </w:rPr>
      </w:pPr>
      <w:r>
        <w:rPr>
          <w:rFonts w:cs="Arial"/>
          <w:b/>
          <w:bCs/>
          <w:lang w:val="en-GB"/>
        </w:rPr>
        <w:t>C</w:t>
      </w:r>
      <w:r w:rsidRPr="005706AC">
        <w:rPr>
          <w:rFonts w:cs="Arial"/>
          <w:b/>
          <w:bCs/>
          <w:lang w:val="en-GB"/>
        </w:rPr>
        <w:t xml:space="preserve">onsultation </w:t>
      </w:r>
      <w:r>
        <w:rPr>
          <w:rFonts w:cs="Arial"/>
          <w:b/>
          <w:bCs/>
          <w:lang w:val="en-GB"/>
        </w:rPr>
        <w:t>themes</w:t>
      </w:r>
    </w:p>
    <w:tbl>
      <w:tblPr>
        <w:tblStyle w:val="TableGrid"/>
        <w:tblW w:w="9639" w:type="dxa"/>
        <w:tblInd w:w="-5" w:type="dxa"/>
        <w:tblLayout w:type="fixed"/>
        <w:tblLook w:val="01E0" w:firstRow="1" w:lastRow="1" w:firstColumn="1" w:lastColumn="1" w:noHBand="0" w:noVBand="0"/>
      </w:tblPr>
      <w:tblGrid>
        <w:gridCol w:w="7371"/>
        <w:gridCol w:w="1560"/>
        <w:gridCol w:w="708"/>
      </w:tblGrid>
      <w:tr w:rsidR="005706AC" w:rsidRPr="005706AC" w14:paraId="0E1387A0" w14:textId="77777777" w:rsidTr="00531FDF">
        <w:trPr>
          <w:tblHeader/>
        </w:trPr>
        <w:tc>
          <w:tcPr>
            <w:tcW w:w="7371" w:type="dxa"/>
            <w:tcBorders>
              <w:bottom w:val="single" w:sz="8" w:space="0" w:color="C0C0C0"/>
            </w:tcBorders>
            <w:shd w:val="clear" w:color="auto" w:fill="0070C0"/>
          </w:tcPr>
          <w:p w14:paraId="05EBF6F8" w14:textId="77777777" w:rsidR="005706AC" w:rsidRPr="005706AC" w:rsidRDefault="005706AC" w:rsidP="0074614B">
            <w:pPr>
              <w:spacing w:before="60" w:after="60"/>
              <w:outlineLvl w:val="1"/>
              <w:rPr>
                <w:rFonts w:asciiTheme="minorHAnsi" w:eastAsia="Times New Roman" w:hAnsiTheme="minorHAnsi" w:cstheme="minorHAnsi"/>
                <w:b/>
                <w:color w:val="FFFFFF" w:themeColor="background1"/>
                <w:sz w:val="22"/>
                <w:szCs w:val="22"/>
              </w:rPr>
            </w:pPr>
            <w:bookmarkStart w:id="2" w:name="_Hlk61443584"/>
            <w:r w:rsidRPr="005706AC">
              <w:rPr>
                <w:rFonts w:asciiTheme="minorHAnsi" w:eastAsia="Times New Roman" w:hAnsiTheme="minorHAnsi" w:cstheme="minorHAnsi"/>
                <w:b/>
                <w:color w:val="FFFFFF" w:themeColor="background1"/>
                <w:sz w:val="22"/>
                <w:szCs w:val="22"/>
              </w:rPr>
              <w:t>Theme</w:t>
            </w:r>
          </w:p>
        </w:tc>
        <w:tc>
          <w:tcPr>
            <w:tcW w:w="1560" w:type="dxa"/>
            <w:tcBorders>
              <w:bottom w:val="single" w:sz="8" w:space="0" w:color="C0C0C0"/>
            </w:tcBorders>
            <w:shd w:val="clear" w:color="auto" w:fill="0070C0"/>
          </w:tcPr>
          <w:p w14:paraId="486E28FD" w14:textId="77777777" w:rsidR="005706AC" w:rsidRPr="005706AC" w:rsidRDefault="005706AC" w:rsidP="0074614B">
            <w:pPr>
              <w:spacing w:before="60" w:after="60"/>
              <w:outlineLvl w:val="1"/>
              <w:rPr>
                <w:rFonts w:asciiTheme="minorHAnsi" w:eastAsia="Times New Roman" w:hAnsiTheme="minorHAnsi" w:cstheme="minorHAnsi"/>
                <w:b/>
                <w:color w:val="FFFFFF" w:themeColor="background1"/>
                <w:sz w:val="22"/>
                <w:szCs w:val="22"/>
              </w:rPr>
            </w:pPr>
            <w:r w:rsidRPr="005706AC">
              <w:rPr>
                <w:rFonts w:asciiTheme="minorHAnsi" w:eastAsia="Times New Roman" w:hAnsiTheme="minorHAnsi" w:cstheme="minorHAnsi"/>
                <w:b/>
                <w:color w:val="FFFFFF" w:themeColor="background1"/>
                <w:sz w:val="22"/>
                <w:szCs w:val="22"/>
              </w:rPr>
              <w:t>Number* of organisations</w:t>
            </w:r>
          </w:p>
        </w:tc>
        <w:tc>
          <w:tcPr>
            <w:tcW w:w="708" w:type="dxa"/>
            <w:tcBorders>
              <w:bottom w:val="single" w:sz="8" w:space="0" w:color="C0C0C0"/>
            </w:tcBorders>
            <w:shd w:val="clear" w:color="auto" w:fill="0070C0"/>
          </w:tcPr>
          <w:p w14:paraId="452741C9" w14:textId="759DC0AE" w:rsidR="005706AC" w:rsidRPr="005706AC" w:rsidRDefault="005706AC" w:rsidP="0074614B">
            <w:pPr>
              <w:spacing w:before="60" w:after="60"/>
              <w:outlineLvl w:val="1"/>
              <w:rPr>
                <w:rFonts w:asciiTheme="minorHAnsi" w:eastAsia="Times New Roman" w:hAnsiTheme="minorHAnsi" w:cstheme="minorHAnsi"/>
                <w:b/>
                <w:color w:val="FFFFFF" w:themeColor="background1"/>
                <w:sz w:val="22"/>
                <w:szCs w:val="22"/>
              </w:rPr>
            </w:pPr>
            <w:r w:rsidRPr="005706AC">
              <w:rPr>
                <w:rFonts w:asciiTheme="minorHAnsi" w:eastAsia="Times New Roman" w:hAnsiTheme="minorHAnsi" w:cstheme="minorHAnsi"/>
                <w:b/>
                <w:color w:val="FFFFFF" w:themeColor="background1"/>
                <w:sz w:val="22"/>
                <w:szCs w:val="22"/>
              </w:rPr>
              <w:t>%</w:t>
            </w:r>
            <w:r w:rsidR="00E82203">
              <w:rPr>
                <w:rFonts w:asciiTheme="minorHAnsi" w:eastAsia="Times New Roman" w:hAnsiTheme="minorHAnsi" w:cstheme="minorHAnsi"/>
                <w:b/>
                <w:color w:val="FFFFFF" w:themeColor="background1"/>
                <w:sz w:val="22"/>
                <w:szCs w:val="22"/>
              </w:rPr>
              <w:t>**</w:t>
            </w:r>
          </w:p>
        </w:tc>
      </w:tr>
      <w:tr w:rsidR="005706AC" w:rsidRPr="005706AC" w14:paraId="5DBD5332" w14:textId="77777777" w:rsidTr="00531FDF">
        <w:tblPrEx>
          <w:tblLook w:val="04A0" w:firstRow="1" w:lastRow="0" w:firstColumn="1" w:lastColumn="0" w:noHBand="0" w:noVBand="1"/>
        </w:tblPrEx>
        <w:tc>
          <w:tcPr>
            <w:tcW w:w="7371" w:type="dxa"/>
            <w:tcBorders>
              <w:right w:val="nil"/>
            </w:tcBorders>
            <w:shd w:val="clear" w:color="auto" w:fill="00B0F0"/>
          </w:tcPr>
          <w:p w14:paraId="1E46C32B" w14:textId="77777777" w:rsidR="005706AC" w:rsidRPr="005706AC" w:rsidRDefault="005706AC" w:rsidP="0074614B">
            <w:pPr>
              <w:spacing w:before="60" w:after="60"/>
              <w:outlineLvl w:val="1"/>
              <w:rPr>
                <w:rFonts w:asciiTheme="minorHAnsi" w:eastAsia="Times New Roman" w:hAnsiTheme="minorHAnsi" w:cstheme="minorHAnsi"/>
                <w:b/>
                <w:color w:val="FFFFFF" w:themeColor="background1"/>
                <w:sz w:val="22"/>
                <w:szCs w:val="22"/>
              </w:rPr>
            </w:pPr>
            <w:bookmarkStart w:id="3" w:name="_Hlk61443777"/>
            <w:r w:rsidRPr="005706AC">
              <w:rPr>
                <w:rFonts w:asciiTheme="minorHAnsi" w:eastAsia="Times New Roman" w:hAnsiTheme="minorHAnsi" w:cstheme="minorHAnsi"/>
                <w:b/>
                <w:color w:val="FFFFFF" w:themeColor="background1"/>
                <w:sz w:val="22"/>
                <w:szCs w:val="22"/>
              </w:rPr>
              <w:t>National fee variations</w:t>
            </w:r>
          </w:p>
        </w:tc>
        <w:tc>
          <w:tcPr>
            <w:tcW w:w="1560" w:type="dxa"/>
            <w:tcBorders>
              <w:left w:val="nil"/>
              <w:right w:val="nil"/>
            </w:tcBorders>
            <w:shd w:val="clear" w:color="auto" w:fill="00B0F0"/>
          </w:tcPr>
          <w:p w14:paraId="1BBA0B62" w14:textId="77777777" w:rsidR="005706AC" w:rsidRPr="005706AC" w:rsidRDefault="005706AC" w:rsidP="0074614B">
            <w:pPr>
              <w:spacing w:before="60" w:after="60"/>
              <w:outlineLvl w:val="1"/>
              <w:rPr>
                <w:rFonts w:asciiTheme="minorHAnsi" w:eastAsia="Times New Roman" w:hAnsiTheme="minorHAnsi" w:cstheme="minorHAnsi"/>
                <w:b/>
                <w:color w:val="FFFFFF" w:themeColor="background1"/>
                <w:sz w:val="22"/>
                <w:szCs w:val="22"/>
              </w:rPr>
            </w:pPr>
          </w:p>
        </w:tc>
        <w:tc>
          <w:tcPr>
            <w:tcW w:w="708" w:type="dxa"/>
            <w:tcBorders>
              <w:left w:val="nil"/>
              <w:right w:val="nil"/>
            </w:tcBorders>
            <w:shd w:val="clear" w:color="auto" w:fill="00B0F0"/>
          </w:tcPr>
          <w:p w14:paraId="4B53825F" w14:textId="77777777" w:rsidR="005706AC" w:rsidRPr="005706AC" w:rsidRDefault="005706AC" w:rsidP="0074614B">
            <w:pPr>
              <w:spacing w:before="60" w:after="60"/>
              <w:outlineLvl w:val="1"/>
              <w:rPr>
                <w:rFonts w:asciiTheme="minorHAnsi" w:eastAsia="Times New Roman" w:hAnsiTheme="minorHAnsi" w:cstheme="minorHAnsi"/>
                <w:b/>
                <w:color w:val="FFFFFF" w:themeColor="background1"/>
                <w:sz w:val="22"/>
                <w:szCs w:val="22"/>
              </w:rPr>
            </w:pPr>
          </w:p>
        </w:tc>
      </w:tr>
      <w:bookmarkEnd w:id="3"/>
      <w:tr w:rsidR="005706AC" w:rsidRPr="005706AC" w14:paraId="77571631" w14:textId="77777777" w:rsidTr="00531FDF">
        <w:tblPrEx>
          <w:tblLook w:val="04A0" w:firstRow="1" w:lastRow="0" w:firstColumn="1" w:lastColumn="0" w:noHBand="0" w:noVBand="1"/>
        </w:tblPrEx>
        <w:tc>
          <w:tcPr>
            <w:tcW w:w="7371" w:type="dxa"/>
          </w:tcPr>
          <w:p w14:paraId="432D9974" w14:textId="77777777" w:rsidR="005706AC" w:rsidRPr="005706AC" w:rsidRDefault="005706AC" w:rsidP="0074614B">
            <w:pPr>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Separating out the two types of fee variations as proposed is logical. It should help to streamline the process, and provide clarity, consistency and improved efficiency</w:t>
            </w:r>
          </w:p>
        </w:tc>
        <w:tc>
          <w:tcPr>
            <w:tcW w:w="1560" w:type="dxa"/>
          </w:tcPr>
          <w:p w14:paraId="4764CD62" w14:textId="77777777" w:rsidR="005706AC" w:rsidRPr="005706AC" w:rsidRDefault="005706AC" w:rsidP="0074614B">
            <w:pPr>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26</w:t>
            </w:r>
          </w:p>
        </w:tc>
        <w:tc>
          <w:tcPr>
            <w:tcW w:w="708" w:type="dxa"/>
          </w:tcPr>
          <w:p w14:paraId="01280511" w14:textId="77777777" w:rsidR="005706AC" w:rsidRPr="005706AC" w:rsidRDefault="005706AC" w:rsidP="0074614B">
            <w:pPr>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29%</w:t>
            </w:r>
          </w:p>
        </w:tc>
      </w:tr>
      <w:tr w:rsidR="005706AC" w:rsidRPr="005706AC" w14:paraId="67560C81" w14:textId="77777777" w:rsidTr="00531FDF">
        <w:tc>
          <w:tcPr>
            <w:tcW w:w="7371" w:type="dxa"/>
            <w:tcBorders>
              <w:bottom w:val="single" w:sz="4" w:space="0" w:color="auto"/>
            </w:tcBorders>
            <w:vAlign w:val="center"/>
          </w:tcPr>
          <w:p w14:paraId="62FB5EC5" w14:textId="77777777" w:rsidR="005706AC" w:rsidRPr="005706AC" w:rsidRDefault="005706AC" w:rsidP="0074614B">
            <w:pPr>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The fees for any national variations should take account of the local circumstances of individual bodies to ensure they are applied fairly</w:t>
            </w:r>
          </w:p>
        </w:tc>
        <w:tc>
          <w:tcPr>
            <w:tcW w:w="1560" w:type="dxa"/>
            <w:tcBorders>
              <w:bottom w:val="single" w:sz="4" w:space="0" w:color="auto"/>
            </w:tcBorders>
          </w:tcPr>
          <w:p w14:paraId="606F9271" w14:textId="77777777" w:rsidR="005706AC" w:rsidRPr="005706AC" w:rsidRDefault="005706AC" w:rsidP="0074614B">
            <w:pPr>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20</w:t>
            </w:r>
          </w:p>
        </w:tc>
        <w:tc>
          <w:tcPr>
            <w:tcW w:w="708" w:type="dxa"/>
            <w:tcBorders>
              <w:bottom w:val="single" w:sz="4" w:space="0" w:color="auto"/>
            </w:tcBorders>
          </w:tcPr>
          <w:p w14:paraId="3351E1F4" w14:textId="77777777" w:rsidR="005706AC" w:rsidRPr="005706AC" w:rsidRDefault="005706AC" w:rsidP="0074614B">
            <w:pPr>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22%</w:t>
            </w:r>
          </w:p>
        </w:tc>
      </w:tr>
      <w:bookmarkEnd w:id="2"/>
      <w:tr w:rsidR="005706AC" w:rsidRPr="005706AC" w14:paraId="0A410A27" w14:textId="77777777" w:rsidTr="00531FDF">
        <w:tblPrEx>
          <w:tblLook w:val="04A0" w:firstRow="1" w:lastRow="0" w:firstColumn="1" w:lastColumn="0" w:noHBand="0" w:noVBand="1"/>
        </w:tblPrEx>
        <w:tc>
          <w:tcPr>
            <w:tcW w:w="7371" w:type="dxa"/>
          </w:tcPr>
          <w:p w14:paraId="6B2A99E9" w14:textId="77777777" w:rsidR="005706AC" w:rsidRPr="005706AC" w:rsidRDefault="005706AC" w:rsidP="0074614B">
            <w:pPr>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The process for determining national fee variations should be clear and transparent, should apply to the broadest range of issues as is possible, and should be mapped out in more detail</w:t>
            </w:r>
          </w:p>
        </w:tc>
        <w:tc>
          <w:tcPr>
            <w:tcW w:w="1560" w:type="dxa"/>
          </w:tcPr>
          <w:p w14:paraId="5C5F72CF" w14:textId="77777777" w:rsidR="005706AC" w:rsidRPr="005706AC" w:rsidRDefault="005706AC" w:rsidP="0074614B">
            <w:pPr>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17</w:t>
            </w:r>
          </w:p>
        </w:tc>
        <w:tc>
          <w:tcPr>
            <w:tcW w:w="708" w:type="dxa"/>
          </w:tcPr>
          <w:p w14:paraId="54C45015" w14:textId="77777777" w:rsidR="005706AC" w:rsidRPr="005706AC" w:rsidRDefault="005706AC" w:rsidP="0074614B">
            <w:pPr>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19%</w:t>
            </w:r>
          </w:p>
        </w:tc>
      </w:tr>
      <w:tr w:rsidR="005706AC" w:rsidRPr="005706AC" w14:paraId="41153C36" w14:textId="77777777" w:rsidTr="00531FDF">
        <w:tblPrEx>
          <w:tblLook w:val="04A0" w:firstRow="1" w:lastRow="0" w:firstColumn="1" w:lastColumn="0" w:noHBand="0" w:noVBand="1"/>
        </w:tblPrEx>
        <w:tc>
          <w:tcPr>
            <w:tcW w:w="7371" w:type="dxa"/>
          </w:tcPr>
          <w:p w14:paraId="7C2F2972" w14:textId="77777777"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It is important to consult on any proposals before setting a fee for national variations</w:t>
            </w:r>
          </w:p>
        </w:tc>
        <w:tc>
          <w:tcPr>
            <w:tcW w:w="1560" w:type="dxa"/>
          </w:tcPr>
          <w:p w14:paraId="3855EBDB"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15</w:t>
            </w:r>
          </w:p>
        </w:tc>
        <w:tc>
          <w:tcPr>
            <w:tcW w:w="708" w:type="dxa"/>
          </w:tcPr>
          <w:p w14:paraId="53460AB2"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17%</w:t>
            </w:r>
          </w:p>
        </w:tc>
      </w:tr>
      <w:tr w:rsidR="005706AC" w:rsidRPr="005706AC" w14:paraId="7DC3890F" w14:textId="77777777" w:rsidTr="00531FDF">
        <w:tblPrEx>
          <w:tblLook w:val="04A0" w:firstRow="1" w:lastRow="0" w:firstColumn="1" w:lastColumn="0" w:noHBand="0" w:noVBand="1"/>
        </w:tblPrEx>
        <w:tc>
          <w:tcPr>
            <w:tcW w:w="7371" w:type="dxa"/>
          </w:tcPr>
          <w:p w14:paraId="66B3AC85" w14:textId="77777777"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National variations should be identified as early as possible to provide clarity on additional fees, and preferably sufficiently early to enable them to be reflected in the scale fee</w:t>
            </w:r>
          </w:p>
        </w:tc>
        <w:tc>
          <w:tcPr>
            <w:tcW w:w="1560" w:type="dxa"/>
          </w:tcPr>
          <w:p w14:paraId="15EE6068"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8</w:t>
            </w:r>
          </w:p>
        </w:tc>
        <w:tc>
          <w:tcPr>
            <w:tcW w:w="708" w:type="dxa"/>
          </w:tcPr>
          <w:p w14:paraId="74F53372"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9%</w:t>
            </w:r>
          </w:p>
        </w:tc>
      </w:tr>
      <w:tr w:rsidR="005706AC" w:rsidRPr="005706AC" w14:paraId="66AE34AD" w14:textId="77777777" w:rsidTr="00531FDF">
        <w:tblPrEx>
          <w:tblLook w:val="04A0" w:firstRow="1" w:lastRow="0" w:firstColumn="1" w:lastColumn="0" w:noHBand="0" w:noVBand="1"/>
        </w:tblPrEx>
        <w:tc>
          <w:tcPr>
            <w:tcW w:w="7371" w:type="dxa"/>
          </w:tcPr>
          <w:p w14:paraId="516DECF9" w14:textId="77777777"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The current approach is not onerous, and could provide greater flexibility</w:t>
            </w:r>
          </w:p>
        </w:tc>
        <w:tc>
          <w:tcPr>
            <w:tcW w:w="1560" w:type="dxa"/>
          </w:tcPr>
          <w:p w14:paraId="0128F549"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3</w:t>
            </w:r>
          </w:p>
        </w:tc>
        <w:tc>
          <w:tcPr>
            <w:tcW w:w="708" w:type="dxa"/>
          </w:tcPr>
          <w:p w14:paraId="1B56A96B"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3%</w:t>
            </w:r>
          </w:p>
        </w:tc>
      </w:tr>
      <w:tr w:rsidR="005706AC" w:rsidRPr="005706AC" w14:paraId="64C046BC" w14:textId="77777777" w:rsidTr="00531FDF">
        <w:tc>
          <w:tcPr>
            <w:tcW w:w="7371" w:type="dxa"/>
            <w:tcBorders>
              <w:right w:val="nil"/>
            </w:tcBorders>
            <w:shd w:val="clear" w:color="auto" w:fill="00B0F0"/>
            <w:vAlign w:val="center"/>
          </w:tcPr>
          <w:p w14:paraId="4427CF24" w14:textId="77777777" w:rsidR="005706AC" w:rsidRPr="005706AC" w:rsidRDefault="005706AC" w:rsidP="005706AC">
            <w:pPr>
              <w:keepNext/>
              <w:keepLines/>
              <w:spacing w:before="60" w:after="60"/>
              <w:jc w:val="both"/>
              <w:outlineLvl w:val="1"/>
              <w:rPr>
                <w:rFonts w:asciiTheme="minorHAnsi" w:eastAsia="Times New Roman" w:hAnsiTheme="minorHAnsi" w:cstheme="minorHAnsi"/>
                <w:b/>
                <w:color w:val="FFFFFF" w:themeColor="background1"/>
                <w:sz w:val="22"/>
                <w:szCs w:val="22"/>
              </w:rPr>
            </w:pPr>
            <w:bookmarkStart w:id="4" w:name="_Hlk61445527"/>
            <w:r w:rsidRPr="005706AC">
              <w:rPr>
                <w:rFonts w:asciiTheme="minorHAnsi" w:eastAsia="Times New Roman" w:hAnsiTheme="minorHAnsi" w:cstheme="minorHAnsi"/>
                <w:b/>
                <w:color w:val="FFFFFF" w:themeColor="background1"/>
                <w:sz w:val="22"/>
                <w:szCs w:val="22"/>
              </w:rPr>
              <w:t>Local variations</w:t>
            </w:r>
          </w:p>
        </w:tc>
        <w:tc>
          <w:tcPr>
            <w:tcW w:w="1560" w:type="dxa"/>
            <w:tcBorders>
              <w:left w:val="nil"/>
              <w:right w:val="nil"/>
            </w:tcBorders>
            <w:shd w:val="clear" w:color="auto" w:fill="00B0F0"/>
          </w:tcPr>
          <w:p w14:paraId="464264A8" w14:textId="77777777" w:rsidR="005706AC" w:rsidRPr="005706AC" w:rsidRDefault="005706AC" w:rsidP="005706AC">
            <w:pPr>
              <w:keepNext/>
              <w:keepLines/>
              <w:spacing w:before="60" w:after="60"/>
              <w:outlineLvl w:val="1"/>
              <w:rPr>
                <w:rFonts w:asciiTheme="minorHAnsi" w:eastAsia="Times New Roman" w:hAnsiTheme="minorHAnsi" w:cstheme="minorHAnsi"/>
                <w:b/>
                <w:color w:val="FFFFFF" w:themeColor="background1"/>
                <w:sz w:val="22"/>
                <w:szCs w:val="22"/>
              </w:rPr>
            </w:pPr>
          </w:p>
        </w:tc>
        <w:tc>
          <w:tcPr>
            <w:tcW w:w="708" w:type="dxa"/>
            <w:tcBorders>
              <w:left w:val="nil"/>
              <w:right w:val="nil"/>
            </w:tcBorders>
            <w:shd w:val="clear" w:color="auto" w:fill="00B0F0"/>
          </w:tcPr>
          <w:p w14:paraId="7C1C4CEE" w14:textId="77777777" w:rsidR="005706AC" w:rsidRPr="005706AC" w:rsidRDefault="005706AC" w:rsidP="005706AC">
            <w:pPr>
              <w:keepNext/>
              <w:keepLines/>
              <w:spacing w:before="60" w:after="60"/>
              <w:outlineLvl w:val="1"/>
              <w:rPr>
                <w:rFonts w:asciiTheme="minorHAnsi" w:eastAsia="Times New Roman" w:hAnsiTheme="minorHAnsi" w:cstheme="minorHAnsi"/>
                <w:b/>
                <w:color w:val="FFFFFF" w:themeColor="background1"/>
                <w:sz w:val="22"/>
                <w:szCs w:val="22"/>
              </w:rPr>
            </w:pPr>
          </w:p>
        </w:tc>
      </w:tr>
      <w:bookmarkEnd w:id="4"/>
      <w:tr w:rsidR="005706AC" w:rsidRPr="005706AC" w14:paraId="5E9D3CDB" w14:textId="77777777" w:rsidTr="00531FDF">
        <w:tc>
          <w:tcPr>
            <w:tcW w:w="7371" w:type="dxa"/>
            <w:tcBorders>
              <w:bottom w:val="single" w:sz="4" w:space="0" w:color="auto"/>
            </w:tcBorders>
            <w:vAlign w:val="center"/>
          </w:tcPr>
          <w:p w14:paraId="3F66994D" w14:textId="77777777"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More guidance is needed to help bodies understand the process and to challenge local variations</w:t>
            </w:r>
          </w:p>
        </w:tc>
        <w:tc>
          <w:tcPr>
            <w:tcW w:w="1560" w:type="dxa"/>
            <w:tcBorders>
              <w:bottom w:val="single" w:sz="4" w:space="0" w:color="auto"/>
            </w:tcBorders>
          </w:tcPr>
          <w:p w14:paraId="5E13F43D"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14</w:t>
            </w:r>
          </w:p>
        </w:tc>
        <w:tc>
          <w:tcPr>
            <w:tcW w:w="708" w:type="dxa"/>
            <w:tcBorders>
              <w:bottom w:val="single" w:sz="4" w:space="0" w:color="auto"/>
            </w:tcBorders>
          </w:tcPr>
          <w:p w14:paraId="3E8DBD20"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16%</w:t>
            </w:r>
          </w:p>
        </w:tc>
      </w:tr>
      <w:tr w:rsidR="005706AC" w:rsidRPr="005706AC" w14:paraId="460D8B23" w14:textId="77777777" w:rsidTr="00531FDF">
        <w:tblPrEx>
          <w:tblLook w:val="04A0" w:firstRow="1" w:lastRow="0" w:firstColumn="1" w:lastColumn="0" w:noHBand="0" w:noVBand="1"/>
        </w:tblPrEx>
        <w:tc>
          <w:tcPr>
            <w:tcW w:w="7371" w:type="dxa"/>
            <w:shd w:val="clear" w:color="auto" w:fill="auto"/>
          </w:tcPr>
          <w:p w14:paraId="51347B4B" w14:textId="77777777"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PSAA must have a role to adjudicate where there is no agreement between auditor and body</w:t>
            </w:r>
          </w:p>
        </w:tc>
        <w:tc>
          <w:tcPr>
            <w:tcW w:w="1560" w:type="dxa"/>
            <w:shd w:val="clear" w:color="auto" w:fill="auto"/>
          </w:tcPr>
          <w:p w14:paraId="656ACF00"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10</w:t>
            </w:r>
          </w:p>
        </w:tc>
        <w:tc>
          <w:tcPr>
            <w:tcW w:w="708" w:type="dxa"/>
          </w:tcPr>
          <w:p w14:paraId="4D941C46"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11%</w:t>
            </w:r>
          </w:p>
        </w:tc>
      </w:tr>
      <w:tr w:rsidR="005706AC" w:rsidRPr="005706AC" w14:paraId="7C4592C5" w14:textId="77777777" w:rsidTr="00531FDF">
        <w:tblPrEx>
          <w:tblLook w:val="04A0" w:firstRow="1" w:lastRow="0" w:firstColumn="1" w:lastColumn="0" w:noHBand="0" w:noVBand="1"/>
        </w:tblPrEx>
        <w:tc>
          <w:tcPr>
            <w:tcW w:w="7371" w:type="dxa"/>
            <w:shd w:val="clear" w:color="auto" w:fill="auto"/>
          </w:tcPr>
          <w:p w14:paraId="109F922A" w14:textId="77777777"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There should be a more realistic timetable for the fee variations process</w:t>
            </w:r>
          </w:p>
        </w:tc>
        <w:tc>
          <w:tcPr>
            <w:tcW w:w="1560" w:type="dxa"/>
            <w:shd w:val="clear" w:color="auto" w:fill="auto"/>
          </w:tcPr>
          <w:p w14:paraId="54B6FD91"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6</w:t>
            </w:r>
          </w:p>
        </w:tc>
        <w:tc>
          <w:tcPr>
            <w:tcW w:w="708" w:type="dxa"/>
          </w:tcPr>
          <w:p w14:paraId="0B2A993E"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7%</w:t>
            </w:r>
          </w:p>
        </w:tc>
      </w:tr>
      <w:tr w:rsidR="005706AC" w:rsidRPr="005706AC" w14:paraId="4DAA357B" w14:textId="77777777" w:rsidTr="00531FDF">
        <w:tblPrEx>
          <w:tblLook w:val="04A0" w:firstRow="1" w:lastRow="0" w:firstColumn="1" w:lastColumn="0" w:noHBand="0" w:noVBand="1"/>
        </w:tblPrEx>
        <w:tc>
          <w:tcPr>
            <w:tcW w:w="7371" w:type="dxa"/>
            <w:shd w:val="clear" w:color="auto" w:fill="auto"/>
          </w:tcPr>
          <w:p w14:paraId="141C9910" w14:textId="77777777"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Where an auditor and body have agreed a local fee variation, PSAA should accept the agreed fee</w:t>
            </w:r>
          </w:p>
        </w:tc>
        <w:tc>
          <w:tcPr>
            <w:tcW w:w="1560" w:type="dxa"/>
            <w:shd w:val="clear" w:color="auto" w:fill="auto"/>
          </w:tcPr>
          <w:p w14:paraId="2828BA47"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2</w:t>
            </w:r>
          </w:p>
        </w:tc>
        <w:tc>
          <w:tcPr>
            <w:tcW w:w="708" w:type="dxa"/>
          </w:tcPr>
          <w:p w14:paraId="3D7F09DD"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2%</w:t>
            </w:r>
          </w:p>
        </w:tc>
      </w:tr>
      <w:tr w:rsidR="005706AC" w:rsidRPr="005706AC" w14:paraId="16D24630" w14:textId="77777777" w:rsidTr="00531FDF">
        <w:tblPrEx>
          <w:tblLook w:val="04A0" w:firstRow="1" w:lastRow="0" w:firstColumn="1" w:lastColumn="0" w:noHBand="0" w:noVBand="1"/>
        </w:tblPrEx>
        <w:tc>
          <w:tcPr>
            <w:tcW w:w="7371" w:type="dxa"/>
            <w:shd w:val="clear" w:color="auto" w:fill="00B0F0"/>
          </w:tcPr>
          <w:p w14:paraId="15D2937E" w14:textId="77777777" w:rsidR="005706AC" w:rsidRPr="005706AC" w:rsidRDefault="005706AC" w:rsidP="005706AC">
            <w:pPr>
              <w:keepNext/>
              <w:keepLines/>
              <w:spacing w:before="60" w:after="60"/>
              <w:jc w:val="both"/>
              <w:outlineLvl w:val="1"/>
              <w:rPr>
                <w:rFonts w:asciiTheme="minorHAnsi" w:eastAsia="Times New Roman" w:hAnsiTheme="minorHAnsi" w:cstheme="minorHAnsi"/>
                <w:b/>
                <w:color w:val="FFFFFF" w:themeColor="background1"/>
                <w:sz w:val="22"/>
                <w:szCs w:val="22"/>
              </w:rPr>
            </w:pPr>
            <w:r w:rsidRPr="005706AC">
              <w:rPr>
                <w:rFonts w:asciiTheme="minorHAnsi" w:eastAsia="Times New Roman" w:hAnsiTheme="minorHAnsi" w:cstheme="minorHAnsi"/>
                <w:b/>
                <w:color w:val="FFFFFF" w:themeColor="background1"/>
                <w:sz w:val="22"/>
                <w:szCs w:val="22"/>
              </w:rPr>
              <w:t>Fee rate increase</w:t>
            </w:r>
          </w:p>
        </w:tc>
        <w:tc>
          <w:tcPr>
            <w:tcW w:w="1560" w:type="dxa"/>
            <w:shd w:val="clear" w:color="auto" w:fill="00B0F0"/>
          </w:tcPr>
          <w:p w14:paraId="4A70FA27" w14:textId="77777777" w:rsidR="005706AC" w:rsidRPr="005706AC" w:rsidRDefault="005706AC" w:rsidP="005706AC">
            <w:pPr>
              <w:keepNext/>
              <w:keepLines/>
              <w:spacing w:before="60" w:after="60"/>
              <w:outlineLvl w:val="1"/>
              <w:rPr>
                <w:rFonts w:asciiTheme="minorHAnsi" w:eastAsia="Times New Roman" w:hAnsiTheme="minorHAnsi" w:cstheme="minorHAnsi"/>
                <w:b/>
                <w:color w:val="FFFFFF" w:themeColor="background1"/>
                <w:sz w:val="22"/>
                <w:szCs w:val="22"/>
              </w:rPr>
            </w:pPr>
          </w:p>
        </w:tc>
        <w:tc>
          <w:tcPr>
            <w:tcW w:w="708" w:type="dxa"/>
            <w:shd w:val="clear" w:color="auto" w:fill="00B0F0"/>
          </w:tcPr>
          <w:p w14:paraId="6B39788A" w14:textId="77777777" w:rsidR="005706AC" w:rsidRPr="005706AC" w:rsidRDefault="005706AC" w:rsidP="005706AC">
            <w:pPr>
              <w:keepNext/>
              <w:keepLines/>
              <w:spacing w:before="60" w:after="60"/>
              <w:outlineLvl w:val="1"/>
              <w:rPr>
                <w:rFonts w:asciiTheme="minorHAnsi" w:eastAsia="Times New Roman" w:hAnsiTheme="minorHAnsi" w:cstheme="minorHAnsi"/>
                <w:b/>
                <w:color w:val="FFFFFF" w:themeColor="background1"/>
                <w:sz w:val="22"/>
                <w:szCs w:val="22"/>
              </w:rPr>
            </w:pPr>
          </w:p>
        </w:tc>
      </w:tr>
      <w:tr w:rsidR="005706AC" w:rsidRPr="005706AC" w14:paraId="5816F65F" w14:textId="77777777" w:rsidTr="00531FDF">
        <w:tblPrEx>
          <w:tblLook w:val="04A0" w:firstRow="1" w:lastRow="0" w:firstColumn="1" w:lastColumn="0" w:noHBand="0" w:noVBand="1"/>
        </w:tblPrEx>
        <w:tc>
          <w:tcPr>
            <w:tcW w:w="7371" w:type="dxa"/>
          </w:tcPr>
          <w:p w14:paraId="1BDB6340" w14:textId="77777777"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An increase in fee rates should be accompanied by improvements in audit quality, timeliness and resourcing</w:t>
            </w:r>
          </w:p>
        </w:tc>
        <w:tc>
          <w:tcPr>
            <w:tcW w:w="1560" w:type="dxa"/>
          </w:tcPr>
          <w:p w14:paraId="4A7B507C"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19</w:t>
            </w:r>
          </w:p>
        </w:tc>
        <w:tc>
          <w:tcPr>
            <w:tcW w:w="708" w:type="dxa"/>
          </w:tcPr>
          <w:p w14:paraId="77CB94C3"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21%</w:t>
            </w:r>
          </w:p>
        </w:tc>
      </w:tr>
      <w:tr w:rsidR="005706AC" w:rsidRPr="005706AC" w14:paraId="3276123F" w14:textId="77777777" w:rsidTr="00531FDF">
        <w:tblPrEx>
          <w:tblLook w:val="04A0" w:firstRow="1" w:lastRow="0" w:firstColumn="1" w:lastColumn="0" w:noHBand="0" w:noVBand="1"/>
        </w:tblPrEx>
        <w:tc>
          <w:tcPr>
            <w:tcW w:w="7371" w:type="dxa"/>
            <w:tcBorders>
              <w:bottom w:val="single" w:sz="4" w:space="0" w:color="auto"/>
            </w:tcBorders>
          </w:tcPr>
          <w:p w14:paraId="03F68C55" w14:textId="77777777"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A clearer justification is needed on the rationale for a 25% increase specifically and how it relates to any increase in costs</w:t>
            </w:r>
          </w:p>
        </w:tc>
        <w:tc>
          <w:tcPr>
            <w:tcW w:w="1560" w:type="dxa"/>
            <w:tcBorders>
              <w:bottom w:val="single" w:sz="4" w:space="0" w:color="auto"/>
            </w:tcBorders>
          </w:tcPr>
          <w:p w14:paraId="247248FC"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14</w:t>
            </w:r>
          </w:p>
        </w:tc>
        <w:tc>
          <w:tcPr>
            <w:tcW w:w="708" w:type="dxa"/>
            <w:tcBorders>
              <w:bottom w:val="single" w:sz="4" w:space="0" w:color="auto"/>
            </w:tcBorders>
          </w:tcPr>
          <w:p w14:paraId="4F66B68D"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16%</w:t>
            </w:r>
          </w:p>
        </w:tc>
      </w:tr>
      <w:tr w:rsidR="005706AC" w:rsidRPr="005706AC" w14:paraId="25AD6600" w14:textId="77777777" w:rsidTr="00531FDF">
        <w:tblPrEx>
          <w:tblLook w:val="04A0" w:firstRow="1" w:lastRow="0" w:firstColumn="1" w:lastColumn="0" w:noHBand="0" w:noVBand="1"/>
        </w:tblPrEx>
        <w:tc>
          <w:tcPr>
            <w:tcW w:w="7371" w:type="dxa"/>
            <w:tcBorders>
              <w:bottom w:val="single" w:sz="4" w:space="0" w:color="auto"/>
            </w:tcBorders>
          </w:tcPr>
          <w:p w14:paraId="76A6B840" w14:textId="52F88349"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 xml:space="preserve">Fees should not increase </w:t>
            </w:r>
            <w:r>
              <w:rPr>
                <w:rFonts w:asciiTheme="minorHAnsi" w:eastAsia="Times New Roman" w:hAnsiTheme="minorHAnsi" w:cstheme="minorHAnsi"/>
                <w:sz w:val="22"/>
                <w:szCs w:val="22"/>
              </w:rPr>
              <w:t>–</w:t>
            </w:r>
            <w:r w:rsidRPr="005706AC">
              <w:rPr>
                <w:rFonts w:asciiTheme="minorHAnsi" w:eastAsia="Times New Roman" w:hAnsiTheme="minorHAnsi" w:cstheme="minorHAnsi"/>
                <w:sz w:val="22"/>
                <w:szCs w:val="22"/>
              </w:rPr>
              <w:t xml:space="preserve"> existing contracts should already allow a contingency for any additional work or fees needed</w:t>
            </w:r>
          </w:p>
        </w:tc>
        <w:tc>
          <w:tcPr>
            <w:tcW w:w="1560" w:type="dxa"/>
            <w:tcBorders>
              <w:bottom w:val="single" w:sz="4" w:space="0" w:color="auto"/>
            </w:tcBorders>
          </w:tcPr>
          <w:p w14:paraId="74F76662"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11</w:t>
            </w:r>
          </w:p>
        </w:tc>
        <w:tc>
          <w:tcPr>
            <w:tcW w:w="708" w:type="dxa"/>
            <w:tcBorders>
              <w:bottom w:val="single" w:sz="4" w:space="0" w:color="auto"/>
            </w:tcBorders>
          </w:tcPr>
          <w:p w14:paraId="521FB69C"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12%</w:t>
            </w:r>
          </w:p>
        </w:tc>
      </w:tr>
      <w:tr w:rsidR="005706AC" w:rsidRPr="005706AC" w14:paraId="646DB510" w14:textId="77777777" w:rsidTr="00531FDF">
        <w:tblPrEx>
          <w:tblLook w:val="04A0" w:firstRow="1" w:lastRow="0" w:firstColumn="1" w:lastColumn="0" w:noHBand="0" w:noVBand="1"/>
        </w:tblPrEx>
        <w:tc>
          <w:tcPr>
            <w:tcW w:w="7371" w:type="dxa"/>
            <w:tcBorders>
              <w:bottom w:val="single" w:sz="4" w:space="0" w:color="auto"/>
            </w:tcBorders>
          </w:tcPr>
          <w:p w14:paraId="082ED3FD" w14:textId="3B0F852B"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 xml:space="preserve">Fees are too low for the market to be sustainable </w:t>
            </w:r>
          </w:p>
        </w:tc>
        <w:tc>
          <w:tcPr>
            <w:tcW w:w="1560" w:type="dxa"/>
            <w:tcBorders>
              <w:bottom w:val="single" w:sz="4" w:space="0" w:color="auto"/>
            </w:tcBorders>
          </w:tcPr>
          <w:p w14:paraId="0787370D"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7</w:t>
            </w:r>
          </w:p>
        </w:tc>
        <w:tc>
          <w:tcPr>
            <w:tcW w:w="708" w:type="dxa"/>
            <w:tcBorders>
              <w:bottom w:val="single" w:sz="4" w:space="0" w:color="auto"/>
            </w:tcBorders>
          </w:tcPr>
          <w:p w14:paraId="6957B2A8"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8%</w:t>
            </w:r>
          </w:p>
        </w:tc>
      </w:tr>
      <w:tr w:rsidR="005706AC" w:rsidRPr="005706AC" w14:paraId="269A8A6C" w14:textId="77777777" w:rsidTr="00531FDF">
        <w:tblPrEx>
          <w:tblLook w:val="04A0" w:firstRow="1" w:lastRow="0" w:firstColumn="1" w:lastColumn="0" w:noHBand="0" w:noVBand="1"/>
        </w:tblPrEx>
        <w:tc>
          <w:tcPr>
            <w:tcW w:w="7371" w:type="dxa"/>
            <w:tcBorders>
              <w:bottom w:val="single" w:sz="4" w:space="0" w:color="auto"/>
            </w:tcBorders>
          </w:tcPr>
          <w:p w14:paraId="5FC82571" w14:textId="1EB8B26C" w:rsidR="005706AC" w:rsidRPr="005706AC" w:rsidRDefault="005706AC" w:rsidP="005706AC">
            <w:pPr>
              <w:keepLines/>
              <w:spacing w:before="60" w:after="60"/>
              <w:jc w:val="both"/>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 xml:space="preserve">The increase in fee rates is not sufficient to cover </w:t>
            </w:r>
            <w:r w:rsidR="00482102">
              <w:rPr>
                <w:rFonts w:asciiTheme="minorHAnsi" w:eastAsia="Times New Roman" w:hAnsiTheme="minorHAnsi" w:cstheme="minorHAnsi"/>
                <w:sz w:val="22"/>
                <w:szCs w:val="22"/>
              </w:rPr>
              <w:t>the additional work</w:t>
            </w:r>
            <w:r w:rsidRPr="005706AC">
              <w:rPr>
                <w:rFonts w:asciiTheme="minorHAnsi" w:eastAsia="Times New Roman" w:hAnsiTheme="minorHAnsi" w:cstheme="minorHAnsi"/>
                <w:sz w:val="22"/>
                <w:szCs w:val="22"/>
              </w:rPr>
              <w:t xml:space="preserve"> and does not allow for use of specialists </w:t>
            </w:r>
          </w:p>
        </w:tc>
        <w:tc>
          <w:tcPr>
            <w:tcW w:w="1560" w:type="dxa"/>
            <w:tcBorders>
              <w:bottom w:val="single" w:sz="4" w:space="0" w:color="auto"/>
            </w:tcBorders>
          </w:tcPr>
          <w:p w14:paraId="1C5138D8"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4</w:t>
            </w:r>
          </w:p>
        </w:tc>
        <w:tc>
          <w:tcPr>
            <w:tcW w:w="708" w:type="dxa"/>
            <w:tcBorders>
              <w:bottom w:val="single" w:sz="4" w:space="0" w:color="auto"/>
            </w:tcBorders>
          </w:tcPr>
          <w:p w14:paraId="72FE734F" w14:textId="77777777" w:rsidR="005706AC" w:rsidRPr="005706AC" w:rsidRDefault="005706AC" w:rsidP="005706AC">
            <w:pPr>
              <w:keepLines/>
              <w:spacing w:before="60" w:after="60"/>
              <w:jc w:val="right"/>
              <w:outlineLvl w:val="1"/>
              <w:rPr>
                <w:rFonts w:asciiTheme="minorHAnsi" w:eastAsia="Times New Roman" w:hAnsiTheme="minorHAnsi" w:cstheme="minorHAnsi"/>
                <w:sz w:val="22"/>
                <w:szCs w:val="22"/>
              </w:rPr>
            </w:pPr>
            <w:r w:rsidRPr="005706AC">
              <w:rPr>
                <w:rFonts w:asciiTheme="minorHAnsi" w:eastAsia="Times New Roman" w:hAnsiTheme="minorHAnsi" w:cstheme="minorHAnsi"/>
                <w:sz w:val="22"/>
                <w:szCs w:val="22"/>
              </w:rPr>
              <w:t>4%</w:t>
            </w:r>
          </w:p>
        </w:tc>
      </w:tr>
    </w:tbl>
    <w:p w14:paraId="6F4F2688" w14:textId="47AF2BE2" w:rsidR="00F36E10" w:rsidRPr="002C58B4" w:rsidRDefault="005706AC" w:rsidP="00F36E10">
      <w:pPr>
        <w:pStyle w:val="Subheading"/>
        <w:tabs>
          <w:tab w:val="right" w:pos="8931"/>
        </w:tabs>
        <w:spacing w:before="0"/>
        <w:ind w:left="0"/>
        <w:jc w:val="both"/>
        <w:rPr>
          <w:rFonts w:asciiTheme="minorHAnsi" w:hAnsiTheme="minorHAnsi" w:cstheme="minorHAnsi"/>
          <w:i w:val="0"/>
          <w:sz w:val="22"/>
          <w:szCs w:val="22"/>
        </w:rPr>
      </w:pPr>
      <w:r w:rsidRPr="00AA1208">
        <w:rPr>
          <w:rFonts w:asciiTheme="minorHAnsi" w:hAnsiTheme="minorHAnsi" w:cstheme="minorHAnsi"/>
          <w:i w:val="0"/>
          <w:iCs/>
          <w:sz w:val="22"/>
          <w:szCs w:val="22"/>
        </w:rPr>
        <w:t>Source: PSAA analysis</w:t>
      </w:r>
      <w:r w:rsidR="00F36E10">
        <w:rPr>
          <w:rFonts w:cs="Arial"/>
          <w:sz w:val="20"/>
          <w:szCs w:val="20"/>
        </w:rPr>
        <w:tab/>
      </w:r>
      <w:r w:rsidR="00F36E10" w:rsidRPr="002C58B4">
        <w:rPr>
          <w:rFonts w:asciiTheme="minorHAnsi" w:hAnsiTheme="minorHAnsi" w:cstheme="minorHAnsi"/>
          <w:i w:val="0"/>
          <w:sz w:val="22"/>
          <w:szCs w:val="22"/>
        </w:rPr>
        <w:t xml:space="preserve">*Respondents generally commented on more than one </w:t>
      </w:r>
      <w:r w:rsidR="00F36E10">
        <w:rPr>
          <w:rFonts w:asciiTheme="minorHAnsi" w:hAnsiTheme="minorHAnsi" w:cstheme="minorHAnsi"/>
          <w:i w:val="0"/>
          <w:sz w:val="22"/>
          <w:szCs w:val="22"/>
        </w:rPr>
        <w:t>theme</w:t>
      </w:r>
    </w:p>
    <w:p w14:paraId="6FFBA725" w14:textId="1F0921AB" w:rsidR="005706AC" w:rsidRDefault="00E82203" w:rsidP="00AE33D9">
      <w:pPr>
        <w:pStyle w:val="Bodytextnumbered"/>
        <w:spacing w:before="0" w:line="240" w:lineRule="auto"/>
        <w:jc w:val="both"/>
        <w:rPr>
          <w:rFonts w:cs="Arial"/>
          <w:sz w:val="20"/>
          <w:szCs w:val="20"/>
          <w:lang w:val="en-GB"/>
        </w:rPr>
      </w:pPr>
      <w:r>
        <w:rPr>
          <w:rFonts w:cs="Arial"/>
          <w:sz w:val="20"/>
          <w:szCs w:val="20"/>
          <w:lang w:val="en-GB"/>
        </w:rPr>
        <w:tab/>
      </w:r>
      <w:r>
        <w:rPr>
          <w:rFonts w:cs="Arial"/>
          <w:sz w:val="20"/>
          <w:szCs w:val="20"/>
          <w:lang w:val="en-GB"/>
        </w:rPr>
        <w:tab/>
      </w:r>
      <w:r>
        <w:rPr>
          <w:rFonts w:cs="Arial"/>
          <w:sz w:val="20"/>
          <w:szCs w:val="20"/>
          <w:lang w:val="en-GB"/>
        </w:rPr>
        <w:tab/>
      </w:r>
      <w:r>
        <w:rPr>
          <w:rFonts w:cs="Arial"/>
          <w:sz w:val="20"/>
          <w:szCs w:val="20"/>
          <w:lang w:val="en-GB"/>
        </w:rPr>
        <w:tab/>
      </w:r>
      <w:r>
        <w:rPr>
          <w:rFonts w:cs="Arial"/>
          <w:sz w:val="20"/>
          <w:szCs w:val="20"/>
          <w:lang w:val="en-GB"/>
        </w:rPr>
        <w:tab/>
      </w:r>
      <w:r w:rsidRPr="00E82203">
        <w:rPr>
          <w:rFonts w:asciiTheme="minorHAnsi" w:eastAsia="Times New Roman" w:hAnsiTheme="minorHAnsi" w:cstheme="minorHAnsi"/>
          <w:color w:val="auto"/>
          <w:bdr w:val="none" w:sz="0" w:space="0" w:color="auto"/>
          <w:lang w:val="en-GB"/>
        </w:rPr>
        <w:t xml:space="preserve">          **</w:t>
      </w:r>
      <w:r w:rsidRPr="00E82203">
        <w:rPr>
          <w:rFonts w:asciiTheme="minorHAnsi" w:eastAsia="Times New Roman" w:hAnsiTheme="minorHAnsi" w:cstheme="minorHAnsi"/>
          <w:color w:val="auto"/>
          <w:bdr w:val="none" w:sz="0" w:space="0" w:color="auto"/>
          <w:lang w:val="en-GB"/>
        </w:rPr>
        <w:tab/>
      </w:r>
      <w:r>
        <w:rPr>
          <w:rFonts w:asciiTheme="minorHAnsi" w:eastAsia="Times New Roman" w:hAnsiTheme="minorHAnsi" w:cstheme="minorHAnsi"/>
          <w:color w:val="auto"/>
          <w:bdr w:val="none" w:sz="0" w:space="0" w:color="auto"/>
          <w:lang w:val="en-GB"/>
        </w:rPr>
        <w:t xml:space="preserve"> % of total responses</w:t>
      </w:r>
      <w:r>
        <w:rPr>
          <w:rFonts w:cs="Arial"/>
          <w:sz w:val="20"/>
          <w:szCs w:val="20"/>
          <w:lang w:val="en-GB"/>
        </w:rPr>
        <w:tab/>
      </w:r>
      <w:r>
        <w:rPr>
          <w:rFonts w:cs="Arial"/>
          <w:sz w:val="20"/>
          <w:szCs w:val="20"/>
          <w:lang w:val="en-GB"/>
        </w:rPr>
        <w:tab/>
      </w:r>
      <w:r>
        <w:rPr>
          <w:rFonts w:cs="Arial"/>
          <w:sz w:val="20"/>
          <w:szCs w:val="20"/>
          <w:lang w:val="en-GB"/>
        </w:rPr>
        <w:tab/>
      </w:r>
      <w:r>
        <w:rPr>
          <w:rFonts w:cs="Arial"/>
          <w:sz w:val="20"/>
          <w:szCs w:val="20"/>
          <w:lang w:val="en-GB"/>
        </w:rPr>
        <w:tab/>
      </w:r>
      <w:r>
        <w:rPr>
          <w:rFonts w:cs="Arial"/>
          <w:sz w:val="20"/>
          <w:szCs w:val="20"/>
          <w:lang w:val="en-GB"/>
        </w:rPr>
        <w:tab/>
      </w:r>
    </w:p>
    <w:p w14:paraId="145A31EB" w14:textId="0F07460C" w:rsidR="00AA1208" w:rsidRDefault="00AA1208" w:rsidP="000240DB">
      <w:pPr>
        <w:pStyle w:val="Bodytextnumbered"/>
        <w:spacing w:before="240"/>
        <w:jc w:val="both"/>
      </w:pPr>
      <w:r>
        <w:t xml:space="preserve">We have set out more information </w:t>
      </w:r>
      <w:r w:rsidR="00531FDF">
        <w:t>on the</w:t>
      </w:r>
      <w:r w:rsidR="00AE33D9">
        <w:t xml:space="preserve"> questions raised in the consultation</w:t>
      </w:r>
      <w:r w:rsidR="00053AE6">
        <w:t xml:space="preserve"> </w:t>
      </w:r>
      <w:r w:rsidR="006D690C">
        <w:t xml:space="preserve">in the Q&amp;As </w:t>
      </w:r>
      <w:r w:rsidR="00AE33D9">
        <w:t>in the</w:t>
      </w:r>
      <w:r w:rsidR="006D690C">
        <w:t xml:space="preserve"> Appendix to this consultation </w:t>
      </w:r>
      <w:r w:rsidR="00F636B7">
        <w:t>summary</w:t>
      </w:r>
      <w:r w:rsidR="006D690C">
        <w:t xml:space="preserve">. </w:t>
      </w:r>
    </w:p>
    <w:p w14:paraId="23F4C0DD" w14:textId="050CE97A" w:rsidR="003F41E6" w:rsidRPr="00361C3C" w:rsidRDefault="000240DB" w:rsidP="00962B7B">
      <w:pPr>
        <w:pStyle w:val="Bodytextnumbered"/>
        <w:keepNext/>
        <w:keepLines/>
        <w:numPr>
          <w:ilvl w:val="0"/>
          <w:numId w:val="16"/>
        </w:numPr>
        <w:spacing w:before="360"/>
        <w:ind w:left="357" w:hanging="357"/>
        <w:jc w:val="both"/>
        <w:rPr>
          <w:b/>
          <w:bCs/>
          <w:color w:val="236995"/>
          <w:sz w:val="24"/>
          <w:szCs w:val="24"/>
        </w:rPr>
      </w:pPr>
      <w:r>
        <w:rPr>
          <w:b/>
          <w:bCs/>
          <w:color w:val="236995"/>
          <w:sz w:val="24"/>
          <w:szCs w:val="24"/>
        </w:rPr>
        <w:lastRenderedPageBreak/>
        <w:t>Next steps</w:t>
      </w:r>
    </w:p>
    <w:p w14:paraId="732B2678" w14:textId="6B77C223" w:rsidR="00C54031" w:rsidRDefault="00D801A9" w:rsidP="00962B7B">
      <w:pPr>
        <w:pStyle w:val="Bodytextnumbered"/>
        <w:keepNext/>
        <w:keepLines/>
        <w:spacing w:before="240"/>
        <w:jc w:val="both"/>
        <w:rPr>
          <w:rFonts w:cs="Arial"/>
        </w:rPr>
      </w:pPr>
      <w:r>
        <w:rPr>
          <w:rFonts w:cs="Arial"/>
        </w:rPr>
        <w:t xml:space="preserve">The PSAA Board has considered the outcome of </w:t>
      </w:r>
      <w:r w:rsidR="00531FDF">
        <w:rPr>
          <w:rFonts w:cs="Arial"/>
        </w:rPr>
        <w:t>the consultation on changes to the fee variations system</w:t>
      </w:r>
      <w:r w:rsidR="00C54031">
        <w:rPr>
          <w:rFonts w:cs="Arial"/>
        </w:rPr>
        <w:t xml:space="preserve"> </w:t>
      </w:r>
      <w:r>
        <w:rPr>
          <w:rFonts w:cs="Arial"/>
        </w:rPr>
        <w:t xml:space="preserve">and agreed to implement the proposals </w:t>
      </w:r>
      <w:r w:rsidR="00962B7B">
        <w:rPr>
          <w:rFonts w:cs="Arial"/>
        </w:rPr>
        <w:t xml:space="preserve">in the light of the largely positive </w:t>
      </w:r>
      <w:r>
        <w:rPr>
          <w:rFonts w:cs="Arial"/>
        </w:rPr>
        <w:t xml:space="preserve">response. </w:t>
      </w:r>
    </w:p>
    <w:p w14:paraId="20745D69" w14:textId="7DB274F7" w:rsidR="00D41DD0" w:rsidRDefault="00C54031" w:rsidP="001C5013">
      <w:pPr>
        <w:pStyle w:val="Bodytextnumbered"/>
        <w:spacing w:before="240"/>
        <w:jc w:val="both"/>
        <w:rPr>
          <w:rFonts w:cs="Arial"/>
        </w:rPr>
      </w:pPr>
      <w:r>
        <w:rPr>
          <w:rFonts w:cs="Arial"/>
        </w:rPr>
        <w:t xml:space="preserve">As set out in </w:t>
      </w:r>
      <w:r w:rsidR="000A3540">
        <w:rPr>
          <w:rFonts w:cs="Arial"/>
        </w:rPr>
        <w:t>the</w:t>
      </w:r>
      <w:r>
        <w:rPr>
          <w:rFonts w:cs="Arial"/>
        </w:rPr>
        <w:t xml:space="preserve"> consultation, </w:t>
      </w:r>
      <w:r w:rsidR="00B80EFB">
        <w:rPr>
          <w:rFonts w:cs="Arial"/>
        </w:rPr>
        <w:t>we have</w:t>
      </w:r>
      <w:r w:rsidRPr="00644F1A">
        <w:rPr>
          <w:rFonts w:cs="Arial"/>
        </w:rPr>
        <w:t xml:space="preserve"> commissioned </w:t>
      </w:r>
      <w:r w:rsidR="000A3540">
        <w:rPr>
          <w:rFonts w:cs="Arial"/>
        </w:rPr>
        <w:t xml:space="preserve">a programme of </w:t>
      </w:r>
      <w:r w:rsidR="001E785A">
        <w:rPr>
          <w:rFonts w:cs="Arial"/>
        </w:rPr>
        <w:t>research</w:t>
      </w:r>
      <w:r w:rsidRPr="00644F1A">
        <w:rPr>
          <w:rFonts w:cs="Arial"/>
        </w:rPr>
        <w:t xml:space="preserve"> to consider the likely </w:t>
      </w:r>
      <w:r w:rsidR="000A3540">
        <w:rPr>
          <w:rFonts w:cs="Arial"/>
        </w:rPr>
        <w:t xml:space="preserve">impact on </w:t>
      </w:r>
      <w:r w:rsidRPr="00644F1A">
        <w:rPr>
          <w:rFonts w:cs="Arial"/>
        </w:rPr>
        <w:t>audit work and fee</w:t>
      </w:r>
      <w:r w:rsidR="000A3540">
        <w:rPr>
          <w:rFonts w:cs="Arial"/>
        </w:rPr>
        <w:t>s</w:t>
      </w:r>
      <w:r w:rsidRPr="00644F1A">
        <w:rPr>
          <w:rFonts w:cs="Arial"/>
        </w:rPr>
        <w:t xml:space="preserve"> of </w:t>
      </w:r>
      <w:r>
        <w:rPr>
          <w:rFonts w:cs="Arial"/>
        </w:rPr>
        <w:t xml:space="preserve">some </w:t>
      </w:r>
      <w:r w:rsidRPr="00644F1A">
        <w:rPr>
          <w:rFonts w:cs="Arial"/>
        </w:rPr>
        <w:t xml:space="preserve">expected changes in audit requirements. </w:t>
      </w:r>
      <w:r>
        <w:rPr>
          <w:rFonts w:cs="Arial"/>
        </w:rPr>
        <w:t xml:space="preserve">It is possible that some </w:t>
      </w:r>
      <w:r w:rsidRPr="00644F1A">
        <w:rPr>
          <w:rFonts w:cs="Arial"/>
        </w:rPr>
        <w:t>changes</w:t>
      </w:r>
      <w:r w:rsidR="000A3540">
        <w:rPr>
          <w:rFonts w:cs="Arial"/>
        </w:rPr>
        <w:t xml:space="preserve"> in audit requirements</w:t>
      </w:r>
      <w:r w:rsidRPr="00644F1A">
        <w:rPr>
          <w:rFonts w:cs="Arial"/>
        </w:rPr>
        <w:t xml:space="preserve"> </w:t>
      </w:r>
      <w:r w:rsidR="001E785A">
        <w:rPr>
          <w:rFonts w:cs="Arial"/>
        </w:rPr>
        <w:t>may not</w:t>
      </w:r>
      <w:r w:rsidRPr="00644F1A">
        <w:rPr>
          <w:rFonts w:cs="Arial"/>
        </w:rPr>
        <w:t xml:space="preserve"> result in an increase in audit work, but others are potentially significant and may </w:t>
      </w:r>
      <w:r w:rsidR="000A3540">
        <w:rPr>
          <w:rFonts w:cs="Arial"/>
        </w:rPr>
        <w:t>be suitable for national</w:t>
      </w:r>
      <w:r w:rsidRPr="00644F1A">
        <w:rPr>
          <w:rFonts w:cs="Arial"/>
        </w:rPr>
        <w:t xml:space="preserve"> fee variations.</w:t>
      </w:r>
      <w:r w:rsidR="001E785A" w:rsidRPr="001E785A">
        <w:rPr>
          <w:rFonts w:cs="Arial"/>
        </w:rPr>
        <w:t xml:space="preserve"> </w:t>
      </w:r>
      <w:r w:rsidR="00B80EFB">
        <w:rPr>
          <w:rFonts w:cs="Arial"/>
        </w:rPr>
        <w:t xml:space="preserve">We are engaging with </w:t>
      </w:r>
      <w:r w:rsidR="00B80EFB" w:rsidRPr="008A48FC">
        <w:rPr>
          <w:rFonts w:cs="Arial"/>
        </w:rPr>
        <w:t>the NAO and FRC</w:t>
      </w:r>
      <w:r w:rsidR="00B80EFB">
        <w:rPr>
          <w:rFonts w:cs="Arial"/>
        </w:rPr>
        <w:t xml:space="preserve"> </w:t>
      </w:r>
      <w:r w:rsidR="00B80EFB" w:rsidRPr="008A48FC">
        <w:rPr>
          <w:rFonts w:cs="Arial"/>
        </w:rPr>
        <w:t xml:space="preserve">to test our thinking and ensure that </w:t>
      </w:r>
      <w:r w:rsidR="00B80EFB">
        <w:rPr>
          <w:rFonts w:cs="Arial"/>
        </w:rPr>
        <w:t>any</w:t>
      </w:r>
      <w:r w:rsidR="00B80EFB" w:rsidRPr="008A48FC">
        <w:rPr>
          <w:rFonts w:cs="Arial"/>
        </w:rPr>
        <w:t xml:space="preserve"> resulting additional fees </w:t>
      </w:r>
      <w:r w:rsidR="000A3540">
        <w:rPr>
          <w:rFonts w:cs="Arial"/>
        </w:rPr>
        <w:t>determined</w:t>
      </w:r>
      <w:r w:rsidR="00B80EFB" w:rsidRPr="008A48FC">
        <w:rPr>
          <w:rFonts w:cs="Arial"/>
        </w:rPr>
        <w:t xml:space="preserve"> are reasonably consistent with any other relevant assessments</w:t>
      </w:r>
      <w:r w:rsidR="00B80EFB">
        <w:rPr>
          <w:rFonts w:cs="Arial"/>
        </w:rPr>
        <w:t xml:space="preserve">. </w:t>
      </w:r>
      <w:r w:rsidR="001E785A">
        <w:rPr>
          <w:rFonts w:cs="Arial"/>
        </w:rPr>
        <w:t xml:space="preserve">We will </w:t>
      </w:r>
      <w:r w:rsidR="001E785A" w:rsidRPr="008A48FC">
        <w:rPr>
          <w:rFonts w:cs="Arial"/>
        </w:rPr>
        <w:t xml:space="preserve">consult with </w:t>
      </w:r>
      <w:r w:rsidR="00B80EFB">
        <w:rPr>
          <w:rFonts w:cs="Arial"/>
        </w:rPr>
        <w:t>opted-in bodies and other stakeholders</w:t>
      </w:r>
      <w:r w:rsidR="00962B7B">
        <w:rPr>
          <w:rFonts w:cs="Arial"/>
        </w:rPr>
        <w:t>, including suppliers,</w:t>
      </w:r>
      <w:r w:rsidR="00B80EFB">
        <w:rPr>
          <w:rFonts w:cs="Arial"/>
        </w:rPr>
        <w:t xml:space="preserve"> on proposals for specific national variations. </w:t>
      </w:r>
      <w:r w:rsidR="00A54B22" w:rsidRPr="00A54B22">
        <w:rPr>
          <w:rFonts w:cs="Arial"/>
        </w:rPr>
        <w:t>If for any reason revised regulations enabling the handling of national variations as outlined are not approved, PSAA’s default position would be to issue findings based on its research into relevant new standards and other relevant changes. This may include information on the likely range within which fee variations for associated additional audit work would be expected to fall (noting that there may be exceptions to that range due to local circumstances).</w:t>
      </w:r>
    </w:p>
    <w:p w14:paraId="4E982463" w14:textId="451CDBB6" w:rsidR="000A3540" w:rsidRDefault="00D801A9" w:rsidP="001C5013">
      <w:pPr>
        <w:pStyle w:val="Bodytextnumbered"/>
        <w:spacing w:before="240"/>
        <w:jc w:val="both"/>
        <w:rPr>
          <w:rFonts w:cs="Arial"/>
        </w:rPr>
      </w:pPr>
      <w:r>
        <w:rPr>
          <w:rFonts w:cs="Arial"/>
        </w:rPr>
        <w:t xml:space="preserve">We will be working closely with MHCLG to ensure that </w:t>
      </w:r>
      <w:r w:rsidR="00C54031">
        <w:rPr>
          <w:rFonts w:cs="Arial"/>
        </w:rPr>
        <w:t xml:space="preserve">implementation of the new arrangements is </w:t>
      </w:r>
      <w:r>
        <w:rPr>
          <w:rFonts w:cs="Arial"/>
        </w:rPr>
        <w:t xml:space="preserve">consistent with their work </w:t>
      </w:r>
      <w:r w:rsidR="003F41E6">
        <w:rPr>
          <w:rFonts w:cs="Arial"/>
        </w:rPr>
        <w:t>to reshape local audit in response</w:t>
      </w:r>
      <w:r w:rsidR="00962B7B">
        <w:rPr>
          <w:rFonts w:cs="Arial"/>
        </w:rPr>
        <w:t xml:space="preserve"> to</w:t>
      </w:r>
      <w:r w:rsidR="003F41E6">
        <w:rPr>
          <w:rFonts w:cs="Arial"/>
        </w:rPr>
        <w:t xml:space="preserve"> the recommendations of the Redmond review.</w:t>
      </w:r>
      <w:r w:rsidR="00C54031">
        <w:rPr>
          <w:rFonts w:cs="Arial"/>
        </w:rPr>
        <w:t xml:space="preserve"> We understand that they intend to publish more detail on their evaluation of options in </w:t>
      </w:r>
      <w:r w:rsidR="00905D64">
        <w:rPr>
          <w:rFonts w:cs="Arial"/>
        </w:rPr>
        <w:t>S</w:t>
      </w:r>
      <w:r w:rsidR="00C54031">
        <w:rPr>
          <w:rFonts w:cs="Arial"/>
        </w:rPr>
        <w:t>pring 2021</w:t>
      </w:r>
      <w:r w:rsidR="000A3540">
        <w:rPr>
          <w:rFonts w:cs="Arial"/>
        </w:rPr>
        <w:t xml:space="preserve">. </w:t>
      </w:r>
    </w:p>
    <w:p w14:paraId="38B6D4DF" w14:textId="3C9A8A49" w:rsidR="00AC7849" w:rsidRDefault="000A3540" w:rsidP="001C5013">
      <w:pPr>
        <w:pStyle w:val="Bodytextnumbered"/>
        <w:spacing w:before="240"/>
        <w:jc w:val="both"/>
        <w:rPr>
          <w:rFonts w:cs="Arial"/>
        </w:rPr>
      </w:pPr>
      <w:r>
        <w:rPr>
          <w:rFonts w:cs="Arial"/>
        </w:rPr>
        <w:t xml:space="preserve">Pending subsequent implementation of any changes to the local audit framework, PSAA </w:t>
      </w:r>
      <w:r w:rsidR="00962B7B">
        <w:rPr>
          <w:rFonts w:cs="Arial"/>
        </w:rPr>
        <w:t>will</w:t>
      </w:r>
      <w:r>
        <w:rPr>
          <w:rFonts w:cs="Arial"/>
        </w:rPr>
        <w:t xml:space="preserve"> continue to discharge its statutory responsibilities, including setting fee scales and determining fee variations. </w:t>
      </w:r>
      <w:r w:rsidR="00962B7B">
        <w:rPr>
          <w:rFonts w:cs="Arial"/>
        </w:rPr>
        <w:t xml:space="preserve">In accordance with requirements we will </w:t>
      </w:r>
      <w:r>
        <w:rPr>
          <w:rFonts w:cs="Arial"/>
        </w:rPr>
        <w:t>publish the 2021/22 fee scale in March 2021. We will also be preparing to consult on the 2022/23 fee scale in the autumn and determining fee variations for audit years 2019/20 and 2020/21 during 2021 and 2022</w:t>
      </w:r>
      <w:r w:rsidR="00385941">
        <w:rPr>
          <w:rFonts w:cs="Arial"/>
        </w:rPr>
        <w:t>.</w:t>
      </w:r>
    </w:p>
    <w:p w14:paraId="498B02B4" w14:textId="5747D016" w:rsidR="002002CD" w:rsidRDefault="002002CD" w:rsidP="001C5013">
      <w:pPr>
        <w:pStyle w:val="Bodytextnumbered"/>
        <w:spacing w:before="240"/>
        <w:jc w:val="both"/>
        <w:rPr>
          <w:rFonts w:cs="Arial"/>
        </w:rPr>
      </w:pPr>
    </w:p>
    <w:p w14:paraId="41C8DDB7" w14:textId="77777777" w:rsidR="00FD373F" w:rsidRDefault="00FD373F">
      <w:pPr>
        <w:rPr>
          <w:rFonts w:ascii="Arial" w:hAnsi="Arial" w:cs="Arial"/>
        </w:rPr>
      </w:pPr>
    </w:p>
    <w:p w14:paraId="27937A78" w14:textId="76C6767D" w:rsidR="00FD373F" w:rsidRDefault="00FD373F">
      <w:pPr>
        <w:rPr>
          <w:rFonts w:ascii="Arial" w:hAnsi="Arial" w:cs="Arial"/>
        </w:rPr>
        <w:sectPr w:rsidR="00FD373F" w:rsidSect="002038AE">
          <w:headerReference w:type="default" r:id="rId9"/>
          <w:pgSz w:w="11906" w:h="16838" w:code="9"/>
          <w:pgMar w:top="1134" w:right="851" w:bottom="567" w:left="1134" w:header="567" w:footer="397" w:gutter="0"/>
          <w:cols w:space="708"/>
          <w:docGrid w:linePitch="360"/>
        </w:sectPr>
      </w:pPr>
    </w:p>
    <w:p w14:paraId="3F4A4FA9" w14:textId="758601A5" w:rsidR="006D690C" w:rsidRDefault="006D690C" w:rsidP="006D690C">
      <w:pPr>
        <w:pStyle w:val="Bodytextnumbered"/>
        <w:spacing w:before="240"/>
        <w:jc w:val="both"/>
        <w:rPr>
          <w:b/>
          <w:bCs/>
        </w:rPr>
      </w:pPr>
      <w:r>
        <w:rPr>
          <w:b/>
          <w:bCs/>
        </w:rPr>
        <w:lastRenderedPageBreak/>
        <w:t>Appendix</w:t>
      </w:r>
      <w:r w:rsidR="00F636B7">
        <w:rPr>
          <w:b/>
          <w:bCs/>
        </w:rPr>
        <w:t xml:space="preserve"> </w:t>
      </w:r>
      <w:r w:rsidR="00A86552">
        <w:rPr>
          <w:b/>
          <w:bCs/>
        </w:rPr>
        <w:t>–</w:t>
      </w:r>
      <w:r>
        <w:rPr>
          <w:b/>
          <w:bCs/>
        </w:rPr>
        <w:t xml:space="preserve"> </w:t>
      </w:r>
      <w:r w:rsidR="00A86552">
        <w:rPr>
          <w:b/>
          <w:bCs/>
        </w:rPr>
        <w:t xml:space="preserve">Fee variation consultation </w:t>
      </w:r>
      <w:r>
        <w:rPr>
          <w:b/>
          <w:bCs/>
        </w:rPr>
        <w:t>Q&amp;As</w:t>
      </w:r>
    </w:p>
    <w:p w14:paraId="44E161F3" w14:textId="77777777" w:rsidR="00F636B7" w:rsidRPr="00053AE6" w:rsidRDefault="00F636B7" w:rsidP="00F636B7">
      <w:pPr>
        <w:pStyle w:val="Bodytextnumbered"/>
        <w:spacing w:before="0"/>
        <w:jc w:val="both"/>
        <w:rPr>
          <w:b/>
          <w:bCs/>
        </w:rPr>
      </w:pPr>
    </w:p>
    <w:tbl>
      <w:tblPr>
        <w:tblStyle w:val="TableGrid"/>
        <w:tblW w:w="14884" w:type="dxa"/>
        <w:tblInd w:w="-5" w:type="dxa"/>
        <w:tblLayout w:type="fixed"/>
        <w:tblLook w:val="01E0" w:firstRow="1" w:lastRow="1" w:firstColumn="1" w:lastColumn="1" w:noHBand="0" w:noVBand="0"/>
      </w:tblPr>
      <w:tblGrid>
        <w:gridCol w:w="567"/>
        <w:gridCol w:w="6804"/>
        <w:gridCol w:w="6805"/>
        <w:gridCol w:w="141"/>
        <w:gridCol w:w="567"/>
      </w:tblGrid>
      <w:tr w:rsidR="00A86552" w:rsidRPr="005706AC" w14:paraId="0136675D" w14:textId="77777777" w:rsidTr="00A76982">
        <w:trPr>
          <w:tblHeader/>
        </w:trPr>
        <w:tc>
          <w:tcPr>
            <w:tcW w:w="7371" w:type="dxa"/>
            <w:gridSpan w:val="2"/>
            <w:tcBorders>
              <w:bottom w:val="single" w:sz="8" w:space="0" w:color="C0C0C0"/>
            </w:tcBorders>
            <w:shd w:val="clear" w:color="auto" w:fill="0070C0"/>
          </w:tcPr>
          <w:p w14:paraId="20DEEBC7" w14:textId="2353D4C1" w:rsidR="00A86552" w:rsidRPr="005706AC" w:rsidRDefault="00A86552" w:rsidP="00DE2CD7">
            <w:pPr>
              <w:keepNext/>
              <w:keepLines/>
              <w:spacing w:before="60" w:after="60"/>
              <w:outlineLvl w:val="1"/>
              <w:rPr>
                <w:rFonts w:asciiTheme="minorHAnsi" w:eastAsia="Times New Roman" w:hAnsiTheme="minorHAnsi" w:cstheme="minorHAnsi"/>
                <w:b/>
                <w:color w:val="FFFFFF" w:themeColor="background1"/>
                <w:sz w:val="22"/>
                <w:szCs w:val="22"/>
              </w:rPr>
            </w:pPr>
            <w:r>
              <w:rPr>
                <w:rFonts w:asciiTheme="minorHAnsi" w:eastAsia="Times New Roman" w:hAnsiTheme="minorHAnsi" w:cstheme="minorHAnsi"/>
                <w:b/>
                <w:color w:val="FFFFFF" w:themeColor="background1"/>
                <w:sz w:val="22"/>
                <w:szCs w:val="22"/>
              </w:rPr>
              <w:t>Question</w:t>
            </w:r>
          </w:p>
        </w:tc>
        <w:tc>
          <w:tcPr>
            <w:tcW w:w="7513" w:type="dxa"/>
            <w:gridSpan w:val="3"/>
            <w:tcBorders>
              <w:bottom w:val="single" w:sz="8" w:space="0" w:color="C0C0C0"/>
            </w:tcBorders>
            <w:shd w:val="clear" w:color="auto" w:fill="0070C0"/>
          </w:tcPr>
          <w:p w14:paraId="2307E705" w14:textId="77777777" w:rsidR="00A86552" w:rsidRPr="005706AC" w:rsidRDefault="00A86552" w:rsidP="00DE2CD7">
            <w:pPr>
              <w:keepNext/>
              <w:keepLines/>
              <w:spacing w:before="60" w:after="60"/>
              <w:outlineLvl w:val="1"/>
              <w:rPr>
                <w:rFonts w:asciiTheme="minorHAnsi" w:eastAsia="Times New Roman" w:hAnsiTheme="minorHAnsi" w:cstheme="minorHAnsi"/>
                <w:b/>
                <w:color w:val="FFFFFF" w:themeColor="background1"/>
                <w:sz w:val="22"/>
                <w:szCs w:val="22"/>
              </w:rPr>
            </w:pPr>
            <w:r>
              <w:rPr>
                <w:rFonts w:asciiTheme="minorHAnsi" w:eastAsia="Times New Roman" w:hAnsiTheme="minorHAnsi" w:cstheme="minorHAnsi"/>
                <w:b/>
                <w:color w:val="FFFFFF" w:themeColor="background1"/>
                <w:sz w:val="22"/>
                <w:szCs w:val="22"/>
              </w:rPr>
              <w:t>Answer</w:t>
            </w:r>
          </w:p>
        </w:tc>
      </w:tr>
      <w:tr w:rsidR="00A86552" w:rsidRPr="005706AC" w14:paraId="18467EC4" w14:textId="77777777" w:rsidTr="00DE2CD7">
        <w:tblPrEx>
          <w:tblLook w:val="04A0" w:firstRow="1" w:lastRow="0" w:firstColumn="1" w:lastColumn="0" w:noHBand="0" w:noVBand="1"/>
        </w:tblPrEx>
        <w:tc>
          <w:tcPr>
            <w:tcW w:w="14176" w:type="dxa"/>
            <w:gridSpan w:val="3"/>
            <w:tcBorders>
              <w:right w:val="nil"/>
            </w:tcBorders>
            <w:shd w:val="clear" w:color="auto" w:fill="00B0F0"/>
          </w:tcPr>
          <w:p w14:paraId="1F280546" w14:textId="779876D4" w:rsidR="00A86552" w:rsidRPr="005706AC" w:rsidRDefault="00A86552" w:rsidP="00DE2CD7">
            <w:pPr>
              <w:keepNext/>
              <w:keepLines/>
              <w:spacing w:before="60" w:after="60"/>
              <w:outlineLvl w:val="1"/>
              <w:rPr>
                <w:rFonts w:asciiTheme="minorHAnsi" w:eastAsia="Times New Roman" w:hAnsiTheme="minorHAnsi" w:cstheme="minorHAnsi"/>
                <w:b/>
                <w:color w:val="FFFFFF" w:themeColor="background1"/>
                <w:sz w:val="22"/>
                <w:szCs w:val="22"/>
              </w:rPr>
            </w:pPr>
            <w:r w:rsidRPr="005706AC">
              <w:rPr>
                <w:rFonts w:asciiTheme="minorHAnsi" w:eastAsia="Times New Roman" w:hAnsiTheme="minorHAnsi" w:cstheme="minorHAnsi"/>
                <w:b/>
                <w:color w:val="FFFFFF" w:themeColor="background1"/>
                <w:sz w:val="22"/>
                <w:szCs w:val="22"/>
              </w:rPr>
              <w:t>National fee variations</w:t>
            </w:r>
          </w:p>
        </w:tc>
        <w:tc>
          <w:tcPr>
            <w:tcW w:w="708" w:type="dxa"/>
            <w:gridSpan w:val="2"/>
            <w:tcBorders>
              <w:left w:val="nil"/>
              <w:right w:val="nil"/>
            </w:tcBorders>
            <w:shd w:val="clear" w:color="auto" w:fill="00B0F0"/>
          </w:tcPr>
          <w:p w14:paraId="5D5F0188" w14:textId="77777777" w:rsidR="00A86552" w:rsidRPr="005706AC" w:rsidRDefault="00A86552" w:rsidP="00DE2CD7">
            <w:pPr>
              <w:keepNext/>
              <w:keepLines/>
              <w:spacing w:before="60" w:after="60"/>
              <w:outlineLvl w:val="1"/>
              <w:rPr>
                <w:rFonts w:asciiTheme="minorHAnsi" w:eastAsia="Times New Roman" w:hAnsiTheme="minorHAnsi" w:cstheme="minorHAnsi"/>
                <w:b/>
                <w:color w:val="FFFFFF" w:themeColor="background1"/>
                <w:sz w:val="22"/>
                <w:szCs w:val="22"/>
              </w:rPr>
            </w:pPr>
          </w:p>
        </w:tc>
      </w:tr>
      <w:tr w:rsidR="00A86552" w:rsidRPr="005706AC" w14:paraId="187F1580" w14:textId="77777777" w:rsidTr="00A86552">
        <w:tblPrEx>
          <w:tblLook w:val="04A0" w:firstRow="1" w:lastRow="0" w:firstColumn="1" w:lastColumn="0" w:noHBand="0" w:noVBand="1"/>
        </w:tblPrEx>
        <w:tc>
          <w:tcPr>
            <w:tcW w:w="567" w:type="dxa"/>
          </w:tcPr>
          <w:p w14:paraId="757D467D" w14:textId="77777777" w:rsidR="00A86552" w:rsidRPr="00A86552" w:rsidRDefault="00A86552" w:rsidP="00A86552">
            <w:pPr>
              <w:pStyle w:val="ListParagraph"/>
              <w:keepNext/>
              <w:keepLines/>
              <w:numPr>
                <w:ilvl w:val="0"/>
                <w:numId w:val="17"/>
              </w:numPr>
              <w:spacing w:before="60" w:after="60"/>
              <w:jc w:val="both"/>
              <w:outlineLvl w:val="1"/>
              <w:rPr>
                <w:rFonts w:ascii="Arial" w:eastAsia="Times New Roman" w:hAnsi="Arial" w:cs="Arial"/>
              </w:rPr>
            </w:pPr>
            <w:bookmarkStart w:id="5" w:name="_Hlk61452825"/>
          </w:p>
        </w:tc>
        <w:tc>
          <w:tcPr>
            <w:tcW w:w="6804" w:type="dxa"/>
          </w:tcPr>
          <w:p w14:paraId="6379E245" w14:textId="489B1EC6" w:rsidR="00A86552" w:rsidRPr="005706AC" w:rsidRDefault="00A86552" w:rsidP="00DE2CD7">
            <w:pPr>
              <w:keepNext/>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Will PSAA </w:t>
            </w:r>
            <w:r w:rsidR="00385941">
              <w:rPr>
                <w:rFonts w:asciiTheme="minorHAnsi" w:eastAsia="Times New Roman" w:hAnsiTheme="minorHAnsi" w:cstheme="minorHAnsi"/>
                <w:sz w:val="22"/>
                <w:szCs w:val="22"/>
              </w:rPr>
              <w:t xml:space="preserve">provide </w:t>
            </w:r>
            <w:r>
              <w:rPr>
                <w:rFonts w:asciiTheme="minorHAnsi" w:eastAsia="Times New Roman" w:hAnsiTheme="minorHAnsi" w:cstheme="minorHAnsi"/>
                <w:sz w:val="22"/>
                <w:szCs w:val="22"/>
              </w:rPr>
              <w:t>more detailed information on the approach to national variations?</w:t>
            </w:r>
          </w:p>
        </w:tc>
        <w:tc>
          <w:tcPr>
            <w:tcW w:w="7513" w:type="dxa"/>
            <w:gridSpan w:val="3"/>
          </w:tcPr>
          <w:p w14:paraId="55EA4C54" w14:textId="0738C9C5" w:rsidR="00A86552" w:rsidRPr="005706AC" w:rsidRDefault="00E14197" w:rsidP="00E14197">
            <w:pPr>
              <w:keepLines/>
              <w:spacing w:before="60" w:after="60"/>
              <w:jc w:val="both"/>
              <w:outlineLvl w:val="1"/>
              <w:rPr>
                <w:rFonts w:asciiTheme="minorHAnsi" w:eastAsia="Times New Roman" w:hAnsiTheme="minorHAnsi" w:cstheme="minorHAnsi"/>
                <w:sz w:val="22"/>
                <w:szCs w:val="22"/>
              </w:rPr>
            </w:pPr>
            <w:r w:rsidRPr="00E14197">
              <w:rPr>
                <w:rFonts w:asciiTheme="minorHAnsi" w:eastAsia="Times New Roman" w:hAnsiTheme="minorHAnsi" w:cstheme="minorHAnsi"/>
                <w:sz w:val="22"/>
                <w:szCs w:val="22"/>
              </w:rPr>
              <w:t>PSAA has</w:t>
            </w:r>
            <w:r w:rsidR="00F93655">
              <w:rPr>
                <w:rFonts w:asciiTheme="minorHAnsi" w:eastAsia="Times New Roman" w:hAnsiTheme="minorHAnsi" w:cstheme="minorHAnsi"/>
                <w:sz w:val="22"/>
                <w:szCs w:val="22"/>
              </w:rPr>
              <w:t xml:space="preserve"> commissioned</w:t>
            </w:r>
            <w:r w:rsidRPr="00E14197">
              <w:rPr>
                <w:rFonts w:asciiTheme="minorHAnsi" w:eastAsia="Times New Roman" w:hAnsiTheme="minorHAnsi" w:cstheme="minorHAnsi"/>
                <w:sz w:val="22"/>
                <w:szCs w:val="22"/>
              </w:rPr>
              <w:t xml:space="preserve"> a programme of </w:t>
            </w:r>
            <w:r>
              <w:rPr>
                <w:rFonts w:asciiTheme="minorHAnsi" w:eastAsia="Times New Roman" w:hAnsiTheme="minorHAnsi" w:cstheme="minorHAnsi"/>
                <w:sz w:val="22"/>
                <w:szCs w:val="22"/>
              </w:rPr>
              <w:t>research</w:t>
            </w:r>
            <w:r w:rsidRPr="00E14197">
              <w:rPr>
                <w:rFonts w:asciiTheme="minorHAnsi" w:eastAsia="Times New Roman" w:hAnsiTheme="minorHAnsi" w:cstheme="minorHAnsi"/>
                <w:sz w:val="22"/>
                <w:szCs w:val="22"/>
              </w:rPr>
              <w:t xml:space="preserve"> to assess the potential suitability for national determination of a series of forthcoming changes in audit requirements, such as the introduction of IFRS 16 on leases. Where it is possible to determine a national variation, that is a national fee that would be appropriate across all, or groupings of, relevant bodies, we will consult opted-in bodies and other stakeholders on our proposals. Where it is not possible to determine a national variation, we aim to provide information </w:t>
            </w:r>
            <w:r w:rsidR="0074614B">
              <w:rPr>
                <w:rFonts w:asciiTheme="minorHAnsi" w:eastAsia="Times New Roman" w:hAnsiTheme="minorHAnsi" w:cstheme="minorHAnsi"/>
                <w:sz w:val="22"/>
                <w:szCs w:val="22"/>
              </w:rPr>
              <w:t xml:space="preserve">for opted-in bodies and auditors </w:t>
            </w:r>
            <w:r w:rsidRPr="00E14197">
              <w:rPr>
                <w:rFonts w:asciiTheme="minorHAnsi" w:eastAsia="Times New Roman" w:hAnsiTheme="minorHAnsi" w:cstheme="minorHAnsi"/>
                <w:sz w:val="22"/>
                <w:szCs w:val="22"/>
              </w:rPr>
              <w:t>on appropriate fee ranges</w:t>
            </w:r>
            <w:r w:rsidR="00E82203">
              <w:t xml:space="preserve"> </w:t>
            </w:r>
            <w:r w:rsidR="00E82203" w:rsidRPr="00E82203">
              <w:rPr>
                <w:rFonts w:asciiTheme="minorHAnsi" w:eastAsia="Times New Roman" w:hAnsiTheme="minorHAnsi" w:cstheme="minorHAnsi"/>
                <w:sz w:val="22"/>
                <w:szCs w:val="22"/>
              </w:rPr>
              <w:t>and factors that may need to be considered</w:t>
            </w:r>
            <w:r w:rsidRPr="00E14197">
              <w:rPr>
                <w:rFonts w:asciiTheme="minorHAnsi" w:eastAsia="Times New Roman" w:hAnsiTheme="minorHAnsi" w:cstheme="minorHAnsi"/>
                <w:sz w:val="22"/>
                <w:szCs w:val="22"/>
              </w:rPr>
              <w:t>.</w:t>
            </w:r>
          </w:p>
        </w:tc>
      </w:tr>
      <w:tr w:rsidR="00A86552" w:rsidRPr="005706AC" w14:paraId="17AECA1E" w14:textId="77777777" w:rsidTr="00A86552">
        <w:tc>
          <w:tcPr>
            <w:tcW w:w="567" w:type="dxa"/>
          </w:tcPr>
          <w:p w14:paraId="21603ED2" w14:textId="7D2336B3" w:rsidR="00A86552" w:rsidRPr="00A86552" w:rsidRDefault="00A86552" w:rsidP="00A86552">
            <w:pPr>
              <w:pStyle w:val="ListParagraph"/>
              <w:keepLines/>
              <w:numPr>
                <w:ilvl w:val="0"/>
                <w:numId w:val="17"/>
              </w:numPr>
              <w:spacing w:before="60" w:after="60"/>
              <w:jc w:val="both"/>
              <w:outlineLvl w:val="1"/>
              <w:rPr>
                <w:rFonts w:ascii="Arial" w:eastAsia="Times New Roman" w:hAnsi="Arial" w:cs="Arial"/>
              </w:rPr>
            </w:pPr>
            <w:bookmarkStart w:id="6" w:name="_Hlk61524801"/>
            <w:bookmarkEnd w:id="5"/>
          </w:p>
        </w:tc>
        <w:tc>
          <w:tcPr>
            <w:tcW w:w="6804" w:type="dxa"/>
          </w:tcPr>
          <w:p w14:paraId="5E6880F3" w14:textId="62062903" w:rsidR="00A86552" w:rsidRPr="005706AC" w:rsidRDefault="00A86552" w:rsidP="00A86552">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Will fees for national variations reflect the circumstances of individual bodies?</w:t>
            </w:r>
          </w:p>
        </w:tc>
        <w:tc>
          <w:tcPr>
            <w:tcW w:w="7513" w:type="dxa"/>
            <w:gridSpan w:val="3"/>
          </w:tcPr>
          <w:p w14:paraId="6A27E5FB" w14:textId="0264E5F8" w:rsidR="00A86552" w:rsidRPr="005706AC" w:rsidRDefault="00F93655" w:rsidP="00E14197">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The premise of national fee variations is that</w:t>
            </w:r>
            <w:r w:rsidR="0074614B">
              <w:rPr>
                <w:rFonts w:asciiTheme="minorHAnsi" w:eastAsia="Times New Roman" w:hAnsiTheme="minorHAnsi" w:cstheme="minorHAnsi"/>
                <w:sz w:val="22"/>
                <w:szCs w:val="22"/>
              </w:rPr>
              <w:t xml:space="preserve"> the exten</w:t>
            </w:r>
            <w:r w:rsidR="00CC313E">
              <w:rPr>
                <w:rFonts w:asciiTheme="minorHAnsi" w:eastAsia="Times New Roman" w:hAnsiTheme="minorHAnsi" w:cstheme="minorHAnsi"/>
                <w:sz w:val="22"/>
                <w:szCs w:val="22"/>
              </w:rPr>
              <w:t>t</w:t>
            </w:r>
            <w:r w:rsidR="0074614B">
              <w:rPr>
                <w:rFonts w:asciiTheme="minorHAnsi" w:eastAsia="Times New Roman" w:hAnsiTheme="minorHAnsi" w:cstheme="minorHAnsi"/>
                <w:sz w:val="22"/>
                <w:szCs w:val="22"/>
              </w:rPr>
              <w:t xml:space="preserve"> of </w:t>
            </w:r>
            <w:r>
              <w:rPr>
                <w:rFonts w:asciiTheme="minorHAnsi" w:eastAsia="Times New Roman" w:hAnsiTheme="minorHAnsi" w:cstheme="minorHAnsi"/>
                <w:sz w:val="22"/>
                <w:szCs w:val="22"/>
              </w:rPr>
              <w:t xml:space="preserve">the additional work required </w:t>
            </w:r>
            <w:r w:rsidR="0074614B">
              <w:rPr>
                <w:rFonts w:asciiTheme="minorHAnsi" w:eastAsia="Times New Roman" w:hAnsiTheme="minorHAnsi" w:cstheme="minorHAnsi"/>
                <w:sz w:val="22"/>
                <w:szCs w:val="22"/>
              </w:rPr>
              <w:t xml:space="preserve">will be similar </w:t>
            </w:r>
            <w:r w:rsidRPr="00F93655">
              <w:rPr>
                <w:rFonts w:asciiTheme="minorHAnsi" w:eastAsia="Times New Roman" w:hAnsiTheme="minorHAnsi" w:cstheme="minorHAnsi"/>
                <w:sz w:val="22"/>
                <w:szCs w:val="22"/>
              </w:rPr>
              <w:t>for groups of bodies with similar characteristics, rather than being determined after assessing the position at the level of each individual body. The system will only realise the benefits outlined if audited bodies and audit suppliers accept that some estimation is implicit in this approach</w:t>
            </w:r>
            <w:r>
              <w:rPr>
                <w:rFonts w:asciiTheme="minorHAnsi" w:eastAsia="Times New Roman" w:hAnsiTheme="minorHAnsi" w:cstheme="minorHAnsi"/>
                <w:sz w:val="22"/>
                <w:szCs w:val="22"/>
              </w:rPr>
              <w:t xml:space="preserve">. Where a body can demonstrate that a particular audit requirement does not apply to them, the national variation will not </w:t>
            </w:r>
            <w:r w:rsidR="00287AE1">
              <w:rPr>
                <w:rFonts w:asciiTheme="minorHAnsi" w:eastAsia="Times New Roman" w:hAnsiTheme="minorHAnsi" w:cstheme="minorHAnsi"/>
                <w:sz w:val="22"/>
                <w:szCs w:val="22"/>
              </w:rPr>
              <w:t>be required.</w:t>
            </w:r>
          </w:p>
        </w:tc>
      </w:tr>
      <w:bookmarkEnd w:id="6"/>
      <w:tr w:rsidR="00A86552" w:rsidRPr="005706AC" w14:paraId="3965D71C" w14:textId="77777777" w:rsidTr="00A86552">
        <w:tc>
          <w:tcPr>
            <w:tcW w:w="567" w:type="dxa"/>
          </w:tcPr>
          <w:p w14:paraId="0CC48779" w14:textId="3A1F2C7D" w:rsidR="00A86552" w:rsidRPr="00A86552" w:rsidRDefault="00287AE1" w:rsidP="00A86552">
            <w:pPr>
              <w:keepLines/>
              <w:spacing w:before="60" w:after="60"/>
              <w:jc w:val="both"/>
              <w:outlineLvl w:val="1"/>
              <w:rPr>
                <w:rFonts w:ascii="Arial" w:eastAsia="Times New Roman" w:hAnsi="Arial" w:cs="Arial"/>
              </w:rPr>
            </w:pPr>
            <w:r>
              <w:rPr>
                <w:rFonts w:ascii="Arial" w:eastAsia="Times New Roman" w:hAnsi="Arial" w:cs="Arial"/>
              </w:rPr>
              <w:t>3</w:t>
            </w:r>
            <w:r w:rsidR="00A86552" w:rsidRPr="00A86552">
              <w:rPr>
                <w:rFonts w:ascii="Arial" w:eastAsia="Times New Roman" w:hAnsi="Arial" w:cs="Arial"/>
              </w:rPr>
              <w:t>.</w:t>
            </w:r>
          </w:p>
        </w:tc>
        <w:tc>
          <w:tcPr>
            <w:tcW w:w="6804" w:type="dxa"/>
          </w:tcPr>
          <w:p w14:paraId="1724AE7E" w14:textId="2A800820" w:rsidR="00A86552" w:rsidRPr="002038AE" w:rsidRDefault="00A86552" w:rsidP="00A86552">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How will PSAA ensure that national variations are determined early, to give audited bodies as much notice as possible of additional fees?</w:t>
            </w:r>
          </w:p>
        </w:tc>
        <w:tc>
          <w:tcPr>
            <w:tcW w:w="7513" w:type="dxa"/>
            <w:gridSpan w:val="3"/>
          </w:tcPr>
          <w:p w14:paraId="7546D4FD" w14:textId="507D8443" w:rsidR="00A86552" w:rsidRPr="00E14197" w:rsidRDefault="00287AE1" w:rsidP="00E14197">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Some changes in audit requirements are not known in sufficient time to allow for national assessment ahead of the auditor undertaking their audit work. Our programme of research is focusing on </w:t>
            </w:r>
            <w:r w:rsidR="00D34F82">
              <w:rPr>
                <w:rFonts w:asciiTheme="minorHAnsi" w:eastAsia="Times New Roman" w:hAnsiTheme="minorHAnsi" w:cstheme="minorHAnsi"/>
                <w:sz w:val="22"/>
                <w:szCs w:val="22"/>
              </w:rPr>
              <w:t>specific planned</w:t>
            </w:r>
            <w:r>
              <w:rPr>
                <w:rFonts w:asciiTheme="minorHAnsi" w:eastAsia="Times New Roman" w:hAnsiTheme="minorHAnsi" w:cstheme="minorHAnsi"/>
                <w:sz w:val="22"/>
                <w:szCs w:val="22"/>
              </w:rPr>
              <w:t xml:space="preserve"> changes in audit </w:t>
            </w:r>
            <w:proofErr w:type="gramStart"/>
            <w:r>
              <w:rPr>
                <w:rFonts w:asciiTheme="minorHAnsi" w:eastAsia="Times New Roman" w:hAnsiTheme="minorHAnsi" w:cstheme="minorHAnsi"/>
                <w:sz w:val="22"/>
                <w:szCs w:val="22"/>
              </w:rPr>
              <w:t>requirements</w:t>
            </w:r>
            <w:proofErr w:type="gramEnd"/>
            <w:r w:rsidR="00B621EE">
              <w:rPr>
                <w:rFonts w:asciiTheme="minorHAnsi" w:eastAsia="Times New Roman" w:hAnsiTheme="minorHAnsi" w:cstheme="minorHAnsi"/>
                <w:sz w:val="22"/>
                <w:szCs w:val="22"/>
              </w:rPr>
              <w:t xml:space="preserve"> but we will keep the topic areas under review</w:t>
            </w:r>
            <w:r>
              <w:rPr>
                <w:rFonts w:asciiTheme="minorHAnsi" w:eastAsia="Times New Roman" w:hAnsiTheme="minorHAnsi" w:cstheme="minorHAnsi"/>
                <w:sz w:val="22"/>
                <w:szCs w:val="22"/>
              </w:rPr>
              <w:t xml:space="preserve">. The aim is to assess whether a standardised fee or a fee range can be determined before audit work is required. PSAA will give notice in its consultations on national fee variations.  </w:t>
            </w:r>
          </w:p>
        </w:tc>
      </w:tr>
      <w:tr w:rsidR="00A86552" w:rsidRPr="005706AC" w14:paraId="16971918" w14:textId="77777777" w:rsidTr="00DE2CD7">
        <w:tc>
          <w:tcPr>
            <w:tcW w:w="14317" w:type="dxa"/>
            <w:gridSpan w:val="4"/>
            <w:tcBorders>
              <w:right w:val="nil"/>
            </w:tcBorders>
            <w:shd w:val="clear" w:color="auto" w:fill="00B0F0"/>
          </w:tcPr>
          <w:p w14:paraId="12FA27EA" w14:textId="6A8DEA3F" w:rsidR="00A86552" w:rsidRPr="00E14197" w:rsidRDefault="00A86552" w:rsidP="00E14197">
            <w:pPr>
              <w:keepLines/>
              <w:spacing w:before="60" w:after="60"/>
              <w:jc w:val="both"/>
              <w:outlineLvl w:val="1"/>
              <w:rPr>
                <w:rFonts w:asciiTheme="minorHAnsi" w:eastAsia="Times New Roman" w:hAnsiTheme="minorHAnsi" w:cstheme="minorHAnsi"/>
                <w:sz w:val="22"/>
                <w:szCs w:val="22"/>
              </w:rPr>
            </w:pPr>
            <w:r w:rsidRPr="00E14197">
              <w:rPr>
                <w:rFonts w:asciiTheme="minorHAnsi" w:eastAsia="Times New Roman" w:hAnsiTheme="minorHAnsi" w:cstheme="minorHAnsi"/>
                <w:sz w:val="22"/>
                <w:szCs w:val="22"/>
              </w:rPr>
              <w:t>Local fee variations</w:t>
            </w:r>
          </w:p>
        </w:tc>
        <w:tc>
          <w:tcPr>
            <w:tcW w:w="567" w:type="dxa"/>
            <w:tcBorders>
              <w:left w:val="nil"/>
              <w:right w:val="nil"/>
            </w:tcBorders>
            <w:shd w:val="clear" w:color="auto" w:fill="00B0F0"/>
          </w:tcPr>
          <w:p w14:paraId="21D9EE36" w14:textId="77777777" w:rsidR="00A86552" w:rsidRPr="00E14197" w:rsidRDefault="00A86552" w:rsidP="00E14197">
            <w:pPr>
              <w:keepLines/>
              <w:spacing w:before="60" w:after="60"/>
              <w:outlineLvl w:val="1"/>
              <w:rPr>
                <w:rFonts w:asciiTheme="minorHAnsi" w:eastAsia="Times New Roman" w:hAnsiTheme="minorHAnsi" w:cstheme="minorHAnsi"/>
                <w:sz w:val="22"/>
                <w:szCs w:val="22"/>
              </w:rPr>
            </w:pPr>
          </w:p>
        </w:tc>
      </w:tr>
      <w:tr w:rsidR="00A86552" w:rsidRPr="005706AC" w14:paraId="337B4965" w14:textId="77777777" w:rsidTr="00A86552">
        <w:tc>
          <w:tcPr>
            <w:tcW w:w="567" w:type="dxa"/>
          </w:tcPr>
          <w:p w14:paraId="21D36055" w14:textId="302B3A0D" w:rsidR="00A86552" w:rsidRPr="00A86552" w:rsidRDefault="00287AE1" w:rsidP="00DE2CD7">
            <w:pPr>
              <w:keepLines/>
              <w:spacing w:before="60" w:after="60"/>
              <w:jc w:val="both"/>
              <w:outlineLvl w:val="1"/>
              <w:rPr>
                <w:rFonts w:ascii="Arial" w:eastAsia="Times New Roman" w:hAnsi="Arial" w:cs="Arial"/>
              </w:rPr>
            </w:pPr>
            <w:bookmarkStart w:id="7" w:name="_Hlk61451958"/>
            <w:r>
              <w:rPr>
                <w:rFonts w:ascii="Arial" w:eastAsia="Times New Roman" w:hAnsi="Arial" w:cs="Arial"/>
              </w:rPr>
              <w:t>4</w:t>
            </w:r>
            <w:r w:rsidR="00A86552" w:rsidRPr="00A86552">
              <w:rPr>
                <w:rFonts w:ascii="Arial" w:eastAsia="Times New Roman" w:hAnsi="Arial" w:cs="Arial"/>
              </w:rPr>
              <w:t>.</w:t>
            </w:r>
          </w:p>
        </w:tc>
        <w:bookmarkEnd w:id="7"/>
        <w:tc>
          <w:tcPr>
            <w:tcW w:w="6804" w:type="dxa"/>
          </w:tcPr>
          <w:p w14:paraId="3DAA7593" w14:textId="49C4E6B4" w:rsidR="00A86552" w:rsidRPr="006D690C" w:rsidRDefault="00A86552" w:rsidP="00DE2CD7">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Will</w:t>
            </w:r>
            <w:r w:rsidRPr="006D690C">
              <w:rPr>
                <w:rFonts w:asciiTheme="minorHAnsi" w:eastAsia="Times New Roman" w:hAnsiTheme="minorHAnsi" w:cstheme="minorHAnsi"/>
                <w:sz w:val="22"/>
                <w:szCs w:val="22"/>
              </w:rPr>
              <w:t xml:space="preserve"> PSAA provide more guidance to</w:t>
            </w:r>
            <w:r>
              <w:rPr>
                <w:rFonts w:asciiTheme="minorHAnsi" w:eastAsia="Times New Roman" w:hAnsiTheme="minorHAnsi" w:cstheme="minorHAnsi"/>
                <w:sz w:val="22"/>
                <w:szCs w:val="22"/>
              </w:rPr>
              <w:t xml:space="preserve"> opted-in bodies to</w:t>
            </w:r>
            <w:r w:rsidRPr="006D690C">
              <w:rPr>
                <w:rFonts w:asciiTheme="minorHAnsi" w:eastAsia="Times New Roman" w:hAnsiTheme="minorHAnsi" w:cstheme="minorHAnsi"/>
                <w:sz w:val="22"/>
                <w:szCs w:val="22"/>
              </w:rPr>
              <w:t xml:space="preserve"> support local fee variations </w:t>
            </w:r>
            <w:r>
              <w:rPr>
                <w:rFonts w:asciiTheme="minorHAnsi" w:eastAsia="Times New Roman" w:hAnsiTheme="minorHAnsi" w:cstheme="minorHAnsi"/>
                <w:sz w:val="22"/>
                <w:szCs w:val="22"/>
              </w:rPr>
              <w:t>discussions</w:t>
            </w:r>
            <w:r w:rsidRPr="006D690C">
              <w:rPr>
                <w:rFonts w:asciiTheme="minorHAnsi" w:eastAsia="Times New Roman" w:hAnsiTheme="minorHAnsi" w:cstheme="minorHAnsi"/>
                <w:sz w:val="22"/>
                <w:szCs w:val="22"/>
              </w:rPr>
              <w:t>?</w:t>
            </w:r>
          </w:p>
        </w:tc>
        <w:tc>
          <w:tcPr>
            <w:tcW w:w="7513" w:type="dxa"/>
            <w:gridSpan w:val="3"/>
          </w:tcPr>
          <w:p w14:paraId="4890C804" w14:textId="3FEB74B5" w:rsidR="00A86552" w:rsidRDefault="005E35FB" w:rsidP="00E14197">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Information on </w:t>
            </w:r>
            <w:hyperlink r:id="rId10" w:history="1">
              <w:r w:rsidR="00287AE1" w:rsidRPr="00962B7B">
                <w:rPr>
                  <w:rStyle w:val="Hyperlink"/>
                  <w:rFonts w:asciiTheme="minorHAnsi" w:eastAsia="Times New Roman" w:hAnsiTheme="minorHAnsi" w:cstheme="minorHAnsi"/>
                  <w:sz w:val="22"/>
                  <w:szCs w:val="22"/>
                </w:rPr>
                <w:t xml:space="preserve">PSAA’s </w:t>
              </w:r>
              <w:r w:rsidRPr="00962B7B">
                <w:rPr>
                  <w:rStyle w:val="Hyperlink"/>
                  <w:rFonts w:asciiTheme="minorHAnsi" w:eastAsia="Times New Roman" w:hAnsiTheme="minorHAnsi" w:cstheme="minorHAnsi"/>
                  <w:sz w:val="22"/>
                  <w:szCs w:val="22"/>
                </w:rPr>
                <w:t>fee variations process</w:t>
              </w:r>
            </w:hyperlink>
            <w:r>
              <w:rPr>
                <w:rFonts w:asciiTheme="minorHAnsi" w:eastAsia="Times New Roman" w:hAnsiTheme="minorHAnsi" w:cstheme="minorHAnsi"/>
                <w:sz w:val="22"/>
                <w:szCs w:val="22"/>
              </w:rPr>
              <w:t xml:space="preserve"> including the respective roles and responsibilities of PSAA and appointed auditors is available on our website. </w:t>
            </w:r>
          </w:p>
          <w:p w14:paraId="4F6D69A9" w14:textId="362A7691" w:rsidR="005E35FB" w:rsidRPr="00E14197" w:rsidRDefault="005E35FB" w:rsidP="00E14197">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Where PSAA is unable to determine a national fee for a particular </w:t>
            </w:r>
            <w:r w:rsidR="0060021E">
              <w:rPr>
                <w:rFonts w:asciiTheme="minorHAnsi" w:eastAsia="Times New Roman" w:hAnsiTheme="minorHAnsi" w:cstheme="minorHAnsi"/>
                <w:sz w:val="22"/>
                <w:szCs w:val="22"/>
              </w:rPr>
              <w:t>additional audit requirement it will provide information on appropriate fee ranges</w:t>
            </w:r>
            <w:r w:rsidR="00B621EE">
              <w:rPr>
                <w:rFonts w:asciiTheme="minorHAnsi" w:eastAsia="Times New Roman" w:hAnsiTheme="minorHAnsi" w:cstheme="minorHAnsi"/>
                <w:sz w:val="22"/>
                <w:szCs w:val="22"/>
              </w:rPr>
              <w:t xml:space="preserve"> and other factors to consider</w:t>
            </w:r>
            <w:r w:rsidR="0060021E">
              <w:rPr>
                <w:rFonts w:asciiTheme="minorHAnsi" w:eastAsia="Times New Roman" w:hAnsiTheme="minorHAnsi" w:cstheme="minorHAnsi"/>
                <w:sz w:val="22"/>
                <w:szCs w:val="22"/>
              </w:rPr>
              <w:t xml:space="preserve"> to support local fee variation discussions.</w:t>
            </w:r>
          </w:p>
        </w:tc>
      </w:tr>
      <w:tr w:rsidR="00A86552" w:rsidRPr="005706AC" w14:paraId="421BBED9" w14:textId="77777777" w:rsidTr="00A86552">
        <w:tc>
          <w:tcPr>
            <w:tcW w:w="567" w:type="dxa"/>
          </w:tcPr>
          <w:p w14:paraId="7A4C7C82" w14:textId="2741C9CC" w:rsidR="00A86552" w:rsidRPr="00A86552" w:rsidRDefault="005E35FB" w:rsidP="00DE2CD7">
            <w:pPr>
              <w:keepLines/>
              <w:spacing w:before="60" w:after="60"/>
              <w:jc w:val="both"/>
              <w:outlineLvl w:val="1"/>
              <w:rPr>
                <w:rFonts w:ascii="Arial" w:eastAsia="Times New Roman" w:hAnsi="Arial" w:cs="Arial"/>
              </w:rPr>
            </w:pPr>
            <w:r>
              <w:rPr>
                <w:rFonts w:ascii="Arial" w:eastAsia="Times New Roman" w:hAnsi="Arial" w:cs="Arial"/>
              </w:rPr>
              <w:lastRenderedPageBreak/>
              <w:t>5</w:t>
            </w:r>
            <w:r w:rsidR="00A86552">
              <w:rPr>
                <w:rFonts w:ascii="Arial" w:eastAsia="Times New Roman" w:hAnsi="Arial" w:cs="Arial"/>
              </w:rPr>
              <w:t>.</w:t>
            </w:r>
          </w:p>
        </w:tc>
        <w:tc>
          <w:tcPr>
            <w:tcW w:w="6804" w:type="dxa"/>
          </w:tcPr>
          <w:p w14:paraId="1BBB68BB" w14:textId="452367A8" w:rsidR="00A86552" w:rsidRPr="006D690C" w:rsidRDefault="00A86552" w:rsidP="00DE2CD7">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Will PSAA adjudicate where an audited body and an auditor cannot agree on a fee variation?</w:t>
            </w:r>
          </w:p>
        </w:tc>
        <w:tc>
          <w:tcPr>
            <w:tcW w:w="7513" w:type="dxa"/>
            <w:gridSpan w:val="3"/>
          </w:tcPr>
          <w:p w14:paraId="7FAD9AE2" w14:textId="3D6BCB26" w:rsidR="00A86552" w:rsidRPr="008817AF" w:rsidRDefault="0060021E" w:rsidP="0060021E">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PSAA’s process for approving fee variation requests from auditors includes careful checks and balances.</w:t>
            </w:r>
            <w:r w:rsidR="00A86552" w:rsidRPr="008817AF">
              <w:rPr>
                <w:rFonts w:asciiTheme="minorHAnsi" w:eastAsia="Times New Roman" w:hAnsiTheme="minorHAnsi" w:cstheme="minorHAnsi"/>
                <w:sz w:val="22"/>
                <w:szCs w:val="22"/>
              </w:rPr>
              <w:t xml:space="preserve"> Auditors are required to discuss and seek to agree any relevant proposals with an appropriate representative of the body concerned, and all proposed variations are subject to challenge and </w:t>
            </w:r>
            <w:r w:rsidR="00962B7B">
              <w:rPr>
                <w:rFonts w:asciiTheme="minorHAnsi" w:eastAsia="Times New Roman" w:hAnsiTheme="minorHAnsi" w:cstheme="minorHAnsi"/>
                <w:sz w:val="22"/>
                <w:szCs w:val="22"/>
              </w:rPr>
              <w:t>ultimate determination</w:t>
            </w:r>
            <w:r w:rsidR="00A86552" w:rsidRPr="008817AF">
              <w:rPr>
                <w:rFonts w:asciiTheme="minorHAnsi" w:eastAsia="Times New Roman" w:hAnsiTheme="minorHAnsi" w:cstheme="minorHAnsi"/>
                <w:sz w:val="22"/>
                <w:szCs w:val="22"/>
              </w:rPr>
              <w:t xml:space="preserve"> PSAA.</w:t>
            </w:r>
          </w:p>
        </w:tc>
      </w:tr>
      <w:tr w:rsidR="00A86552" w:rsidRPr="005706AC" w14:paraId="0FD711AA" w14:textId="77777777" w:rsidTr="00A86552">
        <w:tc>
          <w:tcPr>
            <w:tcW w:w="567" w:type="dxa"/>
          </w:tcPr>
          <w:p w14:paraId="475B5470" w14:textId="12B91D49" w:rsidR="00A86552" w:rsidRPr="00A86552" w:rsidRDefault="0060021E" w:rsidP="00DE2CD7">
            <w:pPr>
              <w:keepLines/>
              <w:spacing w:before="60" w:after="60"/>
              <w:jc w:val="both"/>
              <w:outlineLvl w:val="1"/>
              <w:rPr>
                <w:rFonts w:ascii="Arial" w:eastAsia="Times New Roman" w:hAnsi="Arial" w:cs="Arial"/>
              </w:rPr>
            </w:pPr>
            <w:r>
              <w:rPr>
                <w:rFonts w:ascii="Arial" w:eastAsia="Times New Roman" w:hAnsi="Arial" w:cs="Arial"/>
              </w:rPr>
              <w:t>6</w:t>
            </w:r>
            <w:r w:rsidR="00F8043B">
              <w:rPr>
                <w:rFonts w:ascii="Arial" w:eastAsia="Times New Roman" w:hAnsi="Arial" w:cs="Arial"/>
              </w:rPr>
              <w:t>.</w:t>
            </w:r>
          </w:p>
        </w:tc>
        <w:tc>
          <w:tcPr>
            <w:tcW w:w="6804" w:type="dxa"/>
          </w:tcPr>
          <w:p w14:paraId="3D75504B" w14:textId="63517751" w:rsidR="00A86552" w:rsidRPr="006D690C" w:rsidRDefault="00A86552" w:rsidP="00DE2CD7">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Can the timetable for agreeing local fee variations be accelerated?</w:t>
            </w:r>
          </w:p>
        </w:tc>
        <w:tc>
          <w:tcPr>
            <w:tcW w:w="7513" w:type="dxa"/>
            <w:gridSpan w:val="3"/>
          </w:tcPr>
          <w:p w14:paraId="58960F55" w14:textId="56832AA1" w:rsidR="00A86552" w:rsidRPr="00E14197" w:rsidRDefault="0060021E" w:rsidP="00E14197">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PSAA expects appointed auditors to discuss with audited bodies any potential need for fee variations at the audit planning stage</w:t>
            </w:r>
            <w:r w:rsidR="0074614B">
              <w:rPr>
                <w:rFonts w:asciiTheme="minorHAnsi" w:eastAsia="Times New Roman" w:hAnsiTheme="minorHAnsi" w:cstheme="minorHAnsi"/>
                <w:sz w:val="22"/>
                <w:szCs w:val="22"/>
              </w:rPr>
              <w:t xml:space="preserve"> wherever that is possible</w:t>
            </w:r>
            <w:r>
              <w:rPr>
                <w:rFonts w:asciiTheme="minorHAnsi" w:eastAsia="Times New Roman" w:hAnsiTheme="minorHAnsi" w:cstheme="minorHAnsi"/>
                <w:sz w:val="22"/>
                <w:szCs w:val="22"/>
              </w:rPr>
              <w:t xml:space="preserve">. </w:t>
            </w:r>
          </w:p>
        </w:tc>
      </w:tr>
      <w:tr w:rsidR="00A86552" w:rsidRPr="005706AC" w14:paraId="02772285" w14:textId="77777777" w:rsidTr="00DE2CD7">
        <w:tc>
          <w:tcPr>
            <w:tcW w:w="14317" w:type="dxa"/>
            <w:gridSpan w:val="4"/>
            <w:tcBorders>
              <w:right w:val="nil"/>
            </w:tcBorders>
            <w:shd w:val="clear" w:color="auto" w:fill="00B0F0"/>
          </w:tcPr>
          <w:p w14:paraId="0C6E221A" w14:textId="670C412B" w:rsidR="00A86552" w:rsidRPr="005706AC" w:rsidRDefault="00A86552" w:rsidP="008817AF">
            <w:pPr>
              <w:keepNext/>
              <w:keepLines/>
              <w:spacing w:before="60" w:after="60"/>
              <w:jc w:val="both"/>
              <w:outlineLvl w:val="1"/>
              <w:rPr>
                <w:rFonts w:asciiTheme="minorHAnsi" w:eastAsia="Times New Roman" w:hAnsiTheme="minorHAnsi" w:cstheme="minorHAnsi"/>
                <w:b/>
                <w:color w:val="FFFFFF" w:themeColor="background1"/>
                <w:sz w:val="22"/>
                <w:szCs w:val="22"/>
              </w:rPr>
            </w:pPr>
            <w:r>
              <w:rPr>
                <w:rFonts w:asciiTheme="minorHAnsi" w:eastAsia="Times New Roman" w:hAnsiTheme="minorHAnsi" w:cstheme="minorHAnsi"/>
                <w:b/>
                <w:color w:val="FFFFFF" w:themeColor="background1"/>
                <w:sz w:val="22"/>
                <w:szCs w:val="22"/>
              </w:rPr>
              <w:t>Fee rate increase</w:t>
            </w:r>
          </w:p>
        </w:tc>
        <w:tc>
          <w:tcPr>
            <w:tcW w:w="567" w:type="dxa"/>
            <w:tcBorders>
              <w:left w:val="nil"/>
              <w:right w:val="nil"/>
            </w:tcBorders>
            <w:shd w:val="clear" w:color="auto" w:fill="00B0F0"/>
          </w:tcPr>
          <w:p w14:paraId="781F049A" w14:textId="77777777" w:rsidR="00A86552" w:rsidRPr="005706AC" w:rsidRDefault="00A86552" w:rsidP="008817AF">
            <w:pPr>
              <w:keepNext/>
              <w:keepLines/>
              <w:spacing w:before="60" w:after="60"/>
              <w:outlineLvl w:val="1"/>
              <w:rPr>
                <w:rFonts w:asciiTheme="minorHAnsi" w:eastAsia="Times New Roman" w:hAnsiTheme="minorHAnsi" w:cstheme="minorHAnsi"/>
                <w:b/>
                <w:color w:val="FFFFFF" w:themeColor="background1"/>
                <w:sz w:val="22"/>
                <w:szCs w:val="22"/>
              </w:rPr>
            </w:pPr>
          </w:p>
        </w:tc>
      </w:tr>
      <w:tr w:rsidR="00A86552" w:rsidRPr="005706AC" w14:paraId="253961B0" w14:textId="77777777" w:rsidTr="00A86552">
        <w:tc>
          <w:tcPr>
            <w:tcW w:w="567" w:type="dxa"/>
          </w:tcPr>
          <w:p w14:paraId="734100F6" w14:textId="514171CE" w:rsidR="00A86552" w:rsidRPr="00F8043B" w:rsidRDefault="0060021E" w:rsidP="008817AF">
            <w:pPr>
              <w:keepLines/>
              <w:spacing w:before="60" w:after="60"/>
              <w:jc w:val="both"/>
              <w:outlineLvl w:val="1"/>
              <w:rPr>
                <w:rFonts w:ascii="Arial" w:eastAsia="Times New Roman" w:hAnsi="Arial" w:cs="Arial"/>
              </w:rPr>
            </w:pPr>
            <w:r>
              <w:rPr>
                <w:rFonts w:ascii="Arial" w:eastAsia="Times New Roman" w:hAnsi="Arial" w:cs="Arial"/>
              </w:rPr>
              <w:t>7</w:t>
            </w:r>
            <w:r w:rsidR="00F8043B" w:rsidRPr="00F8043B">
              <w:rPr>
                <w:rFonts w:ascii="Arial" w:eastAsia="Times New Roman" w:hAnsi="Arial" w:cs="Arial"/>
              </w:rPr>
              <w:t>.</w:t>
            </w:r>
          </w:p>
        </w:tc>
        <w:tc>
          <w:tcPr>
            <w:tcW w:w="6804" w:type="dxa"/>
          </w:tcPr>
          <w:p w14:paraId="48CD5BCF" w14:textId="428B40C8" w:rsidR="00A86552" w:rsidRPr="006D690C" w:rsidRDefault="00A86552" w:rsidP="008817AF">
            <w:pPr>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What is the justification for an increase of 25% in the fee rates for variations?</w:t>
            </w:r>
          </w:p>
        </w:tc>
        <w:tc>
          <w:tcPr>
            <w:tcW w:w="7513" w:type="dxa"/>
            <w:gridSpan w:val="3"/>
          </w:tcPr>
          <w:p w14:paraId="0947DEC2" w14:textId="238C138E" w:rsidR="00A86552" w:rsidRPr="0060021E" w:rsidRDefault="0060021E" w:rsidP="0060021E">
            <w:pPr>
              <w:keepLines/>
              <w:spacing w:before="60" w:after="60"/>
              <w:jc w:val="both"/>
              <w:outlineLvl w:val="1"/>
              <w:rPr>
                <w:rFonts w:asciiTheme="minorHAnsi" w:eastAsia="Times New Roman" w:hAnsiTheme="minorHAnsi" w:cstheme="minorHAnsi"/>
                <w:sz w:val="22"/>
                <w:szCs w:val="22"/>
              </w:rPr>
            </w:pPr>
            <w:r w:rsidRPr="0060021E">
              <w:rPr>
                <w:rFonts w:asciiTheme="minorHAnsi" w:eastAsia="Times New Roman" w:hAnsiTheme="minorHAnsi" w:cstheme="minorHAnsi"/>
                <w:sz w:val="22"/>
                <w:szCs w:val="22"/>
              </w:rPr>
              <w:t xml:space="preserve">Current </w:t>
            </w:r>
            <w:r>
              <w:rPr>
                <w:rFonts w:asciiTheme="minorHAnsi" w:eastAsia="Times New Roman" w:hAnsiTheme="minorHAnsi" w:cstheme="minorHAnsi"/>
                <w:sz w:val="22"/>
                <w:szCs w:val="22"/>
              </w:rPr>
              <w:t xml:space="preserve">fee variation rates are significantly below market rates, including those that apply in other parts of the public sector. </w:t>
            </w:r>
            <w:r w:rsidR="0074614B">
              <w:rPr>
                <w:rFonts w:asciiTheme="minorHAnsi" w:eastAsia="Times New Roman" w:hAnsiTheme="minorHAnsi" w:cstheme="minorHAnsi"/>
                <w:sz w:val="22"/>
                <w:szCs w:val="22"/>
              </w:rPr>
              <w:t xml:space="preserve">PSAA feels that the increase in rates is justified. The new rates remain keenly competitive compared to those payable in other sectors. </w:t>
            </w:r>
          </w:p>
        </w:tc>
      </w:tr>
      <w:tr w:rsidR="00A86552" w:rsidRPr="005706AC" w14:paraId="38184DE5" w14:textId="77777777" w:rsidTr="00DE2CD7">
        <w:tblPrEx>
          <w:tblLook w:val="04A0" w:firstRow="1" w:lastRow="0" w:firstColumn="1" w:lastColumn="0" w:noHBand="0" w:noVBand="1"/>
        </w:tblPrEx>
        <w:tc>
          <w:tcPr>
            <w:tcW w:w="14176" w:type="dxa"/>
            <w:gridSpan w:val="3"/>
            <w:tcBorders>
              <w:right w:val="nil"/>
            </w:tcBorders>
            <w:shd w:val="clear" w:color="auto" w:fill="00B0F0"/>
          </w:tcPr>
          <w:p w14:paraId="3D35D115" w14:textId="1FCEC213" w:rsidR="00A86552" w:rsidRPr="0060021E" w:rsidRDefault="00A86552" w:rsidP="00A76982">
            <w:pPr>
              <w:spacing w:before="60" w:after="60"/>
              <w:jc w:val="both"/>
              <w:outlineLvl w:val="1"/>
              <w:rPr>
                <w:rFonts w:asciiTheme="minorHAnsi" w:eastAsia="Times New Roman" w:hAnsiTheme="minorHAnsi" w:cstheme="minorHAnsi"/>
                <w:sz w:val="22"/>
                <w:szCs w:val="22"/>
              </w:rPr>
            </w:pPr>
            <w:r w:rsidRPr="0060021E">
              <w:rPr>
                <w:rFonts w:asciiTheme="minorHAnsi" w:eastAsia="Times New Roman" w:hAnsiTheme="minorHAnsi" w:cstheme="minorHAnsi"/>
                <w:sz w:val="22"/>
                <w:szCs w:val="22"/>
              </w:rPr>
              <w:t>General questions</w:t>
            </w:r>
          </w:p>
        </w:tc>
        <w:tc>
          <w:tcPr>
            <w:tcW w:w="708" w:type="dxa"/>
            <w:gridSpan w:val="2"/>
            <w:tcBorders>
              <w:left w:val="nil"/>
              <w:right w:val="nil"/>
            </w:tcBorders>
            <w:shd w:val="clear" w:color="auto" w:fill="00B0F0"/>
          </w:tcPr>
          <w:p w14:paraId="54A2F6E2" w14:textId="77777777" w:rsidR="00A86552" w:rsidRPr="0060021E" w:rsidRDefault="00A86552" w:rsidP="00A76982">
            <w:pPr>
              <w:spacing w:before="60" w:after="60"/>
              <w:jc w:val="both"/>
              <w:outlineLvl w:val="1"/>
              <w:rPr>
                <w:rFonts w:asciiTheme="minorHAnsi" w:eastAsia="Times New Roman" w:hAnsiTheme="minorHAnsi" w:cstheme="minorHAnsi"/>
                <w:sz w:val="22"/>
                <w:szCs w:val="22"/>
              </w:rPr>
            </w:pPr>
          </w:p>
        </w:tc>
      </w:tr>
      <w:tr w:rsidR="00A86552" w:rsidRPr="005706AC" w14:paraId="5EEF5418" w14:textId="77777777" w:rsidTr="00A86552">
        <w:tblPrEx>
          <w:tblLook w:val="04A0" w:firstRow="1" w:lastRow="0" w:firstColumn="1" w:lastColumn="0" w:noHBand="0" w:noVBand="1"/>
        </w:tblPrEx>
        <w:tc>
          <w:tcPr>
            <w:tcW w:w="567" w:type="dxa"/>
          </w:tcPr>
          <w:p w14:paraId="4F40A509" w14:textId="28C0F8BE" w:rsidR="00A86552" w:rsidRPr="00F8043B" w:rsidRDefault="00C72F08" w:rsidP="00A76982">
            <w:pPr>
              <w:spacing w:before="60" w:after="60"/>
              <w:jc w:val="both"/>
              <w:outlineLvl w:val="1"/>
              <w:rPr>
                <w:rFonts w:ascii="Arial" w:eastAsia="Times New Roman" w:hAnsi="Arial" w:cs="Arial"/>
              </w:rPr>
            </w:pPr>
            <w:r>
              <w:rPr>
                <w:rFonts w:ascii="Arial" w:eastAsia="Times New Roman" w:hAnsi="Arial" w:cs="Arial"/>
              </w:rPr>
              <w:t>8</w:t>
            </w:r>
            <w:r w:rsidR="00F8043B" w:rsidRPr="00F8043B">
              <w:rPr>
                <w:rFonts w:ascii="Arial" w:eastAsia="Times New Roman" w:hAnsi="Arial" w:cs="Arial"/>
              </w:rPr>
              <w:t>.</w:t>
            </w:r>
          </w:p>
        </w:tc>
        <w:tc>
          <w:tcPr>
            <w:tcW w:w="6804" w:type="dxa"/>
          </w:tcPr>
          <w:p w14:paraId="17712622" w14:textId="1BD180A3" w:rsidR="00A86552" w:rsidRPr="005706AC" w:rsidRDefault="00A86552" w:rsidP="00A76982">
            <w:pPr>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Why should additional fees be paid by bodies where auditors are focusing on</w:t>
            </w:r>
            <w:r w:rsidRPr="00482D9D">
              <w:rPr>
                <w:rFonts w:asciiTheme="minorHAnsi" w:eastAsia="Times New Roman" w:hAnsiTheme="minorHAnsi" w:cstheme="minorHAnsi"/>
                <w:sz w:val="22"/>
                <w:szCs w:val="22"/>
              </w:rPr>
              <w:t xml:space="preserve"> technical accounting areas which add little to the quality or accuracy of the financial statements</w:t>
            </w:r>
            <w:r>
              <w:rPr>
                <w:rFonts w:asciiTheme="minorHAnsi" w:eastAsia="Times New Roman" w:hAnsiTheme="minorHAnsi" w:cstheme="minorHAnsi"/>
                <w:sz w:val="22"/>
                <w:szCs w:val="22"/>
              </w:rPr>
              <w:t xml:space="preserve"> at the expense of </w:t>
            </w:r>
            <w:r w:rsidRPr="00482D9D">
              <w:rPr>
                <w:rFonts w:asciiTheme="minorHAnsi" w:eastAsia="Times New Roman" w:hAnsiTheme="minorHAnsi" w:cstheme="minorHAnsi"/>
                <w:sz w:val="22"/>
                <w:szCs w:val="22"/>
              </w:rPr>
              <w:t>those that impact on service delivery</w:t>
            </w:r>
            <w:r>
              <w:rPr>
                <w:rFonts w:asciiTheme="minorHAnsi" w:eastAsia="Times New Roman" w:hAnsiTheme="minorHAnsi" w:cstheme="minorHAnsi"/>
                <w:sz w:val="22"/>
                <w:szCs w:val="22"/>
              </w:rPr>
              <w:t>?</w:t>
            </w:r>
          </w:p>
        </w:tc>
        <w:tc>
          <w:tcPr>
            <w:tcW w:w="7513" w:type="dxa"/>
            <w:gridSpan w:val="3"/>
          </w:tcPr>
          <w:p w14:paraId="642EC6E4" w14:textId="70EA1560" w:rsidR="0081794A" w:rsidRPr="00C53E1A" w:rsidRDefault="00C53E1A" w:rsidP="00A76982">
            <w:pPr>
              <w:spacing w:before="60" w:after="60"/>
              <w:jc w:val="both"/>
              <w:outlineLvl w:val="1"/>
              <w:rPr>
                <w:rFonts w:asciiTheme="minorHAnsi" w:eastAsia="Times New Roman" w:hAnsiTheme="minorHAnsi" w:cstheme="minorHAnsi"/>
                <w:sz w:val="22"/>
                <w:szCs w:val="22"/>
              </w:rPr>
            </w:pPr>
            <w:r w:rsidRPr="00C53E1A">
              <w:rPr>
                <w:rFonts w:asciiTheme="minorHAnsi" w:eastAsia="Times New Roman" w:hAnsiTheme="minorHAnsi" w:cstheme="minorHAnsi"/>
                <w:sz w:val="22"/>
                <w:szCs w:val="22"/>
              </w:rPr>
              <w:t>The scope and requirements for auditors’ work are determined by the following:</w:t>
            </w:r>
          </w:p>
          <w:p w14:paraId="6000A1DF" w14:textId="52FC9A1F" w:rsidR="00C53E1A" w:rsidRPr="00C53E1A" w:rsidRDefault="00C53E1A" w:rsidP="00A76982">
            <w:pPr>
              <w:pStyle w:val="ListParagraph"/>
              <w:numPr>
                <w:ilvl w:val="0"/>
                <w:numId w:val="18"/>
              </w:numPr>
              <w:spacing w:before="60" w:after="60"/>
              <w:jc w:val="both"/>
              <w:outlineLvl w:val="1"/>
              <w:rPr>
                <w:rFonts w:eastAsia="Times New Roman" w:cstheme="minorHAnsi"/>
                <w:sz w:val="22"/>
                <w:szCs w:val="22"/>
              </w:rPr>
            </w:pPr>
            <w:r w:rsidRPr="00C53E1A">
              <w:rPr>
                <w:rFonts w:eastAsia="Times New Roman" w:cstheme="minorHAnsi"/>
                <w:sz w:val="22"/>
                <w:szCs w:val="22"/>
              </w:rPr>
              <w:t>the Code of Audit Practice and supporting Auditor Guidance Notes published by the NAO;</w:t>
            </w:r>
          </w:p>
          <w:p w14:paraId="4F4A3B8C" w14:textId="56B4A4E5" w:rsidR="00C53E1A" w:rsidRPr="00C53E1A" w:rsidRDefault="00C53E1A" w:rsidP="00A76982">
            <w:pPr>
              <w:pStyle w:val="ListParagraph"/>
              <w:numPr>
                <w:ilvl w:val="0"/>
                <w:numId w:val="18"/>
              </w:numPr>
              <w:spacing w:before="60" w:after="60"/>
              <w:jc w:val="both"/>
              <w:outlineLvl w:val="1"/>
              <w:rPr>
                <w:rFonts w:eastAsia="Times New Roman" w:cstheme="minorHAnsi"/>
                <w:sz w:val="22"/>
                <w:szCs w:val="22"/>
              </w:rPr>
            </w:pPr>
            <w:r w:rsidRPr="00C53E1A">
              <w:rPr>
                <w:rFonts w:eastAsia="Times New Roman" w:cstheme="minorHAnsi"/>
                <w:sz w:val="22"/>
                <w:szCs w:val="22"/>
              </w:rPr>
              <w:t>professional standards applicable to auditors’ work set and enforced by the FRC;</w:t>
            </w:r>
          </w:p>
          <w:p w14:paraId="5C0AA707" w14:textId="77777777" w:rsidR="00C53E1A" w:rsidRPr="00C53E1A" w:rsidRDefault="00C53E1A" w:rsidP="00C53E1A">
            <w:pPr>
              <w:pStyle w:val="ListParagraph"/>
              <w:numPr>
                <w:ilvl w:val="0"/>
                <w:numId w:val="18"/>
              </w:numPr>
              <w:spacing w:before="60" w:after="60"/>
              <w:jc w:val="both"/>
              <w:outlineLvl w:val="1"/>
              <w:rPr>
                <w:rFonts w:eastAsia="Times New Roman" w:cstheme="minorHAnsi"/>
                <w:sz w:val="22"/>
                <w:szCs w:val="22"/>
              </w:rPr>
            </w:pPr>
            <w:r w:rsidRPr="00C53E1A">
              <w:rPr>
                <w:rFonts w:eastAsia="Times New Roman" w:cstheme="minorHAnsi"/>
                <w:sz w:val="22"/>
                <w:szCs w:val="22"/>
              </w:rPr>
              <w:t>financial reporting requirements set out in the Code of Practice on Local Authority Accounting published by CIPFA/LASAAC.</w:t>
            </w:r>
          </w:p>
          <w:p w14:paraId="61FE8BA1" w14:textId="77777777" w:rsidR="00962B7B" w:rsidRDefault="00962B7B" w:rsidP="00C53E1A">
            <w:pPr>
              <w:spacing w:before="60" w:after="60"/>
              <w:jc w:val="both"/>
              <w:outlineLvl w:val="1"/>
              <w:rPr>
                <w:rFonts w:eastAsia="Times New Roman" w:cstheme="minorHAnsi"/>
                <w:sz w:val="22"/>
                <w:szCs w:val="22"/>
              </w:rPr>
            </w:pPr>
            <w:r w:rsidRPr="00962B7B">
              <w:rPr>
                <w:rFonts w:eastAsia="Times New Roman" w:cstheme="minorHAnsi"/>
                <w:sz w:val="22"/>
                <w:szCs w:val="22"/>
              </w:rPr>
              <w:t>Auditors are required to have regard to these requirements.</w:t>
            </w:r>
          </w:p>
          <w:p w14:paraId="6AD094F4" w14:textId="7D3F9D11" w:rsidR="00A86552" w:rsidRPr="00C53E1A" w:rsidRDefault="0081794A" w:rsidP="00C53E1A">
            <w:pPr>
              <w:spacing w:before="60" w:after="60"/>
              <w:jc w:val="both"/>
              <w:outlineLvl w:val="1"/>
              <w:rPr>
                <w:rFonts w:eastAsia="Times New Roman" w:cstheme="minorHAnsi"/>
                <w:sz w:val="22"/>
                <w:szCs w:val="22"/>
              </w:rPr>
            </w:pPr>
            <w:r w:rsidRPr="00C53E1A">
              <w:rPr>
                <w:rFonts w:eastAsia="Times New Roman" w:cstheme="minorHAnsi"/>
                <w:sz w:val="22"/>
                <w:szCs w:val="22"/>
              </w:rPr>
              <w:t xml:space="preserve">The Redmond review includes recommendations in relation to system leadership in the local audit framework and improving the transparency of accounts. MHCLG is considering the options </w:t>
            </w:r>
            <w:r w:rsidR="00A76982" w:rsidRPr="00C53E1A">
              <w:rPr>
                <w:rFonts w:eastAsia="Times New Roman" w:cstheme="minorHAnsi"/>
                <w:sz w:val="22"/>
                <w:szCs w:val="22"/>
              </w:rPr>
              <w:t>in response to the Redmond recommendations.</w:t>
            </w:r>
            <w:r w:rsidRPr="00C53E1A">
              <w:rPr>
                <w:rFonts w:eastAsia="Times New Roman" w:cstheme="minorHAnsi"/>
                <w:sz w:val="22"/>
                <w:szCs w:val="22"/>
              </w:rPr>
              <w:t xml:space="preserve"> </w:t>
            </w:r>
          </w:p>
        </w:tc>
      </w:tr>
      <w:tr w:rsidR="00A86552" w:rsidRPr="005706AC" w14:paraId="0184388C" w14:textId="77777777" w:rsidTr="00A86552">
        <w:tblPrEx>
          <w:tblLook w:val="04A0" w:firstRow="1" w:lastRow="0" w:firstColumn="1" w:lastColumn="0" w:noHBand="0" w:noVBand="1"/>
        </w:tblPrEx>
        <w:tc>
          <w:tcPr>
            <w:tcW w:w="567" w:type="dxa"/>
          </w:tcPr>
          <w:p w14:paraId="1B386282" w14:textId="3982897C" w:rsidR="00A86552" w:rsidRPr="00F8043B" w:rsidRDefault="002A60BB" w:rsidP="00C53E1A">
            <w:pPr>
              <w:spacing w:before="60" w:after="60"/>
              <w:jc w:val="both"/>
              <w:outlineLvl w:val="1"/>
              <w:rPr>
                <w:rFonts w:ascii="Arial" w:eastAsia="Times New Roman" w:hAnsi="Arial" w:cs="Arial"/>
              </w:rPr>
            </w:pPr>
            <w:r>
              <w:rPr>
                <w:rFonts w:ascii="Arial" w:eastAsia="Times New Roman" w:hAnsi="Arial" w:cs="Arial"/>
              </w:rPr>
              <w:t>9</w:t>
            </w:r>
            <w:r w:rsidR="00F8043B" w:rsidRPr="00F8043B">
              <w:rPr>
                <w:rFonts w:ascii="Arial" w:eastAsia="Times New Roman" w:hAnsi="Arial" w:cs="Arial"/>
              </w:rPr>
              <w:t>.</w:t>
            </w:r>
          </w:p>
        </w:tc>
        <w:tc>
          <w:tcPr>
            <w:tcW w:w="6804" w:type="dxa"/>
          </w:tcPr>
          <w:p w14:paraId="4C435F61" w14:textId="7E083078" w:rsidR="00A86552" w:rsidRPr="006F029B" w:rsidRDefault="00A86552" w:rsidP="00C53E1A">
            <w:pPr>
              <w:spacing w:before="60" w:after="60"/>
              <w:jc w:val="both"/>
              <w:outlineLvl w:val="1"/>
              <w:rPr>
                <w:rFonts w:asciiTheme="minorHAnsi" w:eastAsia="Times New Roman" w:hAnsiTheme="minorHAnsi" w:cstheme="minorHAnsi"/>
                <w:sz w:val="22"/>
                <w:szCs w:val="22"/>
              </w:rPr>
            </w:pPr>
            <w:r w:rsidRPr="006F029B">
              <w:rPr>
                <w:rFonts w:asciiTheme="minorHAnsi" w:eastAsia="Times New Roman" w:hAnsiTheme="minorHAnsi" w:cstheme="minorHAnsi"/>
                <w:sz w:val="22"/>
                <w:szCs w:val="22"/>
              </w:rPr>
              <w:t>Why are the costs of additional work for changes in audit requirements not covered by a contingency in audit contracts?</w:t>
            </w:r>
          </w:p>
        </w:tc>
        <w:tc>
          <w:tcPr>
            <w:tcW w:w="7513" w:type="dxa"/>
            <w:gridSpan w:val="3"/>
          </w:tcPr>
          <w:p w14:paraId="479FD262" w14:textId="11FEF5C2" w:rsidR="009229F6" w:rsidRDefault="00A86552" w:rsidP="00C53E1A">
            <w:pPr>
              <w:spacing w:before="60" w:after="60"/>
              <w:jc w:val="both"/>
              <w:outlineLvl w:val="1"/>
              <w:rPr>
                <w:rFonts w:asciiTheme="minorHAnsi" w:eastAsia="Times New Roman" w:hAnsiTheme="minorHAnsi" w:cstheme="minorHAnsi"/>
                <w:sz w:val="22"/>
                <w:szCs w:val="22"/>
              </w:rPr>
            </w:pPr>
            <w:r w:rsidRPr="00110A20">
              <w:rPr>
                <w:rFonts w:asciiTheme="minorHAnsi" w:eastAsia="Times New Roman" w:hAnsiTheme="minorHAnsi" w:cstheme="minorHAnsi"/>
                <w:sz w:val="22"/>
                <w:szCs w:val="22"/>
              </w:rPr>
              <w:t>PSAA let contracts to five audit firms in 2017 for the five-year appointing period covering the audits of the accounts of opted in bodies for 2018/19 to 2022/23.</w:t>
            </w:r>
            <w:r w:rsidR="00586846">
              <w:rPr>
                <w:rFonts w:asciiTheme="minorHAnsi" w:eastAsia="Times New Roman" w:hAnsiTheme="minorHAnsi" w:cstheme="minorHAnsi"/>
                <w:sz w:val="22"/>
                <w:szCs w:val="22"/>
              </w:rPr>
              <w:t xml:space="preserve"> The </w:t>
            </w:r>
            <w:r w:rsidR="009229F6">
              <w:rPr>
                <w:rFonts w:asciiTheme="minorHAnsi" w:eastAsia="Times New Roman" w:hAnsiTheme="minorHAnsi" w:cstheme="minorHAnsi"/>
                <w:sz w:val="22"/>
                <w:szCs w:val="22"/>
              </w:rPr>
              <w:t xml:space="preserve">local audit framework </w:t>
            </w:r>
            <w:r w:rsidR="00C53E1A">
              <w:rPr>
                <w:rFonts w:asciiTheme="minorHAnsi" w:eastAsia="Times New Roman" w:hAnsiTheme="minorHAnsi" w:cstheme="minorHAnsi"/>
                <w:sz w:val="22"/>
                <w:szCs w:val="22"/>
              </w:rPr>
              <w:t>under which the contracts were let requires appointed auditor</w:t>
            </w:r>
            <w:r w:rsidR="006E2327">
              <w:rPr>
                <w:rFonts w:asciiTheme="minorHAnsi" w:eastAsia="Times New Roman" w:hAnsiTheme="minorHAnsi" w:cstheme="minorHAnsi"/>
                <w:sz w:val="22"/>
                <w:szCs w:val="22"/>
              </w:rPr>
              <w:t>s</w:t>
            </w:r>
            <w:r w:rsidR="00C53E1A">
              <w:rPr>
                <w:rFonts w:asciiTheme="minorHAnsi" w:eastAsia="Times New Roman" w:hAnsiTheme="minorHAnsi" w:cstheme="minorHAnsi"/>
                <w:sz w:val="22"/>
                <w:szCs w:val="22"/>
              </w:rPr>
              <w:t xml:space="preserve"> to undertake their work in compliance with the requirements of the Code of Audit Practice. It also requires the appointing person to set audit fees based on these requirements. The legal framework recognises the potential need for additional audit work and includes a provision in the Regulations for these to be charged where needed. </w:t>
            </w:r>
          </w:p>
          <w:p w14:paraId="4FAED73E" w14:textId="081D39DD" w:rsidR="00A86552" w:rsidRPr="00110A20" w:rsidRDefault="00A86552" w:rsidP="00C53E1A">
            <w:pPr>
              <w:spacing w:before="60" w:after="60"/>
              <w:jc w:val="both"/>
              <w:outlineLvl w:val="1"/>
              <w:rPr>
                <w:rFonts w:asciiTheme="minorHAnsi" w:eastAsia="Times New Roman" w:hAnsiTheme="minorHAnsi" w:cstheme="minorHAnsi"/>
                <w:sz w:val="22"/>
                <w:szCs w:val="22"/>
              </w:rPr>
            </w:pPr>
            <w:r w:rsidRPr="00110A20">
              <w:rPr>
                <w:rFonts w:asciiTheme="minorHAnsi" w:eastAsia="Times New Roman" w:hAnsiTheme="minorHAnsi" w:cstheme="minorHAnsi"/>
                <w:sz w:val="22"/>
                <w:szCs w:val="22"/>
              </w:rPr>
              <w:lastRenderedPageBreak/>
              <w:t xml:space="preserve">As for previous audit contracts for local public bodies, the </w:t>
            </w:r>
            <w:r w:rsidR="002B31D9">
              <w:rPr>
                <w:rFonts w:asciiTheme="minorHAnsi" w:eastAsia="Times New Roman" w:hAnsiTheme="minorHAnsi" w:cstheme="minorHAnsi"/>
                <w:sz w:val="22"/>
                <w:szCs w:val="22"/>
              </w:rPr>
              <w:t xml:space="preserve">current audit </w:t>
            </w:r>
            <w:r w:rsidRPr="00110A20">
              <w:rPr>
                <w:rFonts w:asciiTheme="minorHAnsi" w:eastAsia="Times New Roman" w:hAnsiTheme="minorHAnsi" w:cstheme="minorHAnsi"/>
                <w:sz w:val="22"/>
                <w:szCs w:val="22"/>
              </w:rPr>
              <w:t xml:space="preserve">contracts were let on the basis of </w:t>
            </w:r>
            <w:r w:rsidR="002A60BB">
              <w:rPr>
                <w:rFonts w:asciiTheme="minorHAnsi" w:eastAsia="Times New Roman" w:hAnsiTheme="minorHAnsi" w:cstheme="minorHAnsi"/>
                <w:sz w:val="22"/>
                <w:szCs w:val="22"/>
              </w:rPr>
              <w:t>expected</w:t>
            </w:r>
            <w:r w:rsidRPr="00110A20">
              <w:rPr>
                <w:rFonts w:asciiTheme="minorHAnsi" w:eastAsia="Times New Roman" w:hAnsiTheme="minorHAnsi" w:cstheme="minorHAnsi"/>
                <w:sz w:val="22"/>
                <w:szCs w:val="22"/>
              </w:rPr>
              <w:t xml:space="preserve"> local audit requirements</w:t>
            </w:r>
            <w:r w:rsidR="00F46861">
              <w:rPr>
                <w:rFonts w:asciiTheme="minorHAnsi" w:eastAsia="Times New Roman" w:hAnsiTheme="minorHAnsi" w:cstheme="minorHAnsi"/>
                <w:sz w:val="22"/>
                <w:szCs w:val="22"/>
              </w:rPr>
              <w:t xml:space="preserve"> as they were known in 2017</w:t>
            </w:r>
            <w:r w:rsidRPr="00110A20">
              <w:rPr>
                <w:rFonts w:asciiTheme="minorHAnsi" w:eastAsia="Times New Roman" w:hAnsiTheme="minorHAnsi" w:cstheme="minorHAnsi"/>
                <w:sz w:val="22"/>
                <w:szCs w:val="22"/>
              </w:rPr>
              <w:t>. In the interests of safeguarding public funds, the contracts do not provide for potentially costly contingencies for changes in requirements</w:t>
            </w:r>
            <w:r w:rsidR="0074614B">
              <w:rPr>
                <w:rFonts w:asciiTheme="minorHAnsi" w:eastAsia="Times New Roman" w:hAnsiTheme="minorHAnsi" w:cstheme="minorHAnsi"/>
                <w:sz w:val="22"/>
                <w:szCs w:val="22"/>
              </w:rPr>
              <w:t xml:space="preserve"> that may or may not occur and</w:t>
            </w:r>
            <w:r w:rsidRPr="00110A20">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for which the specific impact </w:t>
            </w:r>
            <w:r w:rsidR="00F46861">
              <w:rPr>
                <w:rFonts w:asciiTheme="minorHAnsi" w:eastAsia="Times New Roman" w:hAnsiTheme="minorHAnsi" w:cstheme="minorHAnsi"/>
                <w:sz w:val="22"/>
                <w:szCs w:val="22"/>
              </w:rPr>
              <w:t>could not</w:t>
            </w:r>
            <w:r>
              <w:rPr>
                <w:rFonts w:asciiTheme="minorHAnsi" w:eastAsia="Times New Roman" w:hAnsiTheme="minorHAnsi" w:cstheme="minorHAnsi"/>
                <w:sz w:val="22"/>
                <w:szCs w:val="22"/>
              </w:rPr>
              <w:t xml:space="preserve"> be </w:t>
            </w:r>
            <w:r w:rsidRPr="00110A20">
              <w:rPr>
                <w:rFonts w:asciiTheme="minorHAnsi" w:eastAsia="Times New Roman" w:hAnsiTheme="minorHAnsi" w:cstheme="minorHAnsi"/>
                <w:sz w:val="22"/>
                <w:szCs w:val="22"/>
              </w:rPr>
              <w:t>quantified</w:t>
            </w:r>
            <w:r>
              <w:rPr>
                <w:rFonts w:asciiTheme="minorHAnsi" w:eastAsia="Times New Roman" w:hAnsiTheme="minorHAnsi" w:cstheme="minorHAnsi"/>
                <w:sz w:val="22"/>
                <w:szCs w:val="22"/>
              </w:rPr>
              <w:t xml:space="preserve"> at the time of contract award</w:t>
            </w:r>
            <w:r w:rsidRPr="00110A20">
              <w:rPr>
                <w:rFonts w:asciiTheme="minorHAnsi" w:eastAsia="Times New Roman" w:hAnsiTheme="minorHAnsi" w:cstheme="minorHAnsi"/>
                <w:sz w:val="22"/>
                <w:szCs w:val="22"/>
              </w:rPr>
              <w:t>.</w:t>
            </w:r>
          </w:p>
        </w:tc>
      </w:tr>
      <w:tr w:rsidR="00A86552" w:rsidRPr="005706AC" w14:paraId="63608BAA" w14:textId="77777777" w:rsidTr="00A86552">
        <w:tblPrEx>
          <w:tblLook w:val="04A0" w:firstRow="1" w:lastRow="0" w:firstColumn="1" w:lastColumn="0" w:noHBand="0" w:noVBand="1"/>
        </w:tblPrEx>
        <w:tc>
          <w:tcPr>
            <w:tcW w:w="567" w:type="dxa"/>
          </w:tcPr>
          <w:p w14:paraId="5BD26179" w14:textId="1997E639" w:rsidR="00A86552" w:rsidRPr="00F8043B" w:rsidRDefault="00F8043B" w:rsidP="00DE2CD7">
            <w:pPr>
              <w:keepNext/>
              <w:keepLines/>
              <w:spacing w:before="60" w:after="60"/>
              <w:jc w:val="both"/>
              <w:outlineLvl w:val="1"/>
              <w:rPr>
                <w:rFonts w:ascii="Arial" w:eastAsia="Times New Roman" w:hAnsi="Arial" w:cs="Arial"/>
              </w:rPr>
            </w:pPr>
            <w:r w:rsidRPr="00F8043B">
              <w:rPr>
                <w:rFonts w:ascii="Arial" w:eastAsia="Times New Roman" w:hAnsi="Arial" w:cs="Arial"/>
              </w:rPr>
              <w:lastRenderedPageBreak/>
              <w:t>1</w:t>
            </w:r>
            <w:r w:rsidR="00F46861">
              <w:rPr>
                <w:rFonts w:ascii="Arial" w:eastAsia="Times New Roman" w:hAnsi="Arial" w:cs="Arial"/>
              </w:rPr>
              <w:t>0</w:t>
            </w:r>
            <w:r w:rsidRPr="00F8043B">
              <w:rPr>
                <w:rFonts w:ascii="Arial" w:eastAsia="Times New Roman" w:hAnsi="Arial" w:cs="Arial"/>
              </w:rPr>
              <w:t>.</w:t>
            </w:r>
          </w:p>
        </w:tc>
        <w:tc>
          <w:tcPr>
            <w:tcW w:w="6804" w:type="dxa"/>
          </w:tcPr>
          <w:p w14:paraId="09745ECD" w14:textId="2ED2A5FD" w:rsidR="00A86552" w:rsidRPr="006F029B" w:rsidRDefault="00A86552" w:rsidP="00DE2CD7">
            <w:pPr>
              <w:keepNext/>
              <w:keepLines/>
              <w:spacing w:before="60" w:after="60"/>
              <w:jc w:val="both"/>
              <w:outlineLvl w:val="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Why was the </w:t>
            </w:r>
            <w:r w:rsidRPr="006F029B">
              <w:rPr>
                <w:rFonts w:asciiTheme="minorHAnsi" w:eastAsia="Times New Roman" w:hAnsiTheme="minorHAnsi" w:cstheme="minorHAnsi"/>
                <w:sz w:val="22"/>
                <w:szCs w:val="22"/>
              </w:rPr>
              <w:t xml:space="preserve">consultation </w:t>
            </w:r>
            <w:r>
              <w:rPr>
                <w:rFonts w:asciiTheme="minorHAnsi" w:eastAsia="Times New Roman" w:hAnsiTheme="minorHAnsi" w:cstheme="minorHAnsi"/>
                <w:sz w:val="22"/>
                <w:szCs w:val="22"/>
              </w:rPr>
              <w:t>not</w:t>
            </w:r>
            <w:r w:rsidR="00A7698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clear</w:t>
            </w:r>
            <w:r w:rsidRPr="006F029B">
              <w:rPr>
                <w:rFonts w:asciiTheme="minorHAnsi" w:eastAsia="Times New Roman" w:hAnsiTheme="minorHAnsi" w:cstheme="minorHAnsi"/>
                <w:sz w:val="22"/>
                <w:szCs w:val="22"/>
              </w:rPr>
              <w:t xml:space="preserve"> on the likely impact of changes to current arrangements from the Redmond review</w:t>
            </w:r>
            <w:r>
              <w:rPr>
                <w:rFonts w:asciiTheme="minorHAnsi" w:eastAsia="Times New Roman" w:hAnsiTheme="minorHAnsi" w:cstheme="minorHAnsi"/>
                <w:sz w:val="22"/>
                <w:szCs w:val="22"/>
              </w:rPr>
              <w:t>?</w:t>
            </w:r>
          </w:p>
        </w:tc>
        <w:tc>
          <w:tcPr>
            <w:tcW w:w="7513" w:type="dxa"/>
            <w:gridSpan w:val="3"/>
          </w:tcPr>
          <w:p w14:paraId="50659060" w14:textId="6777EE69" w:rsidR="00A86552" w:rsidRPr="005706AC" w:rsidRDefault="00A86552" w:rsidP="006F029B">
            <w:pPr>
              <w:keepNext/>
              <w:keepLines/>
              <w:spacing w:before="60" w:after="60"/>
              <w:jc w:val="both"/>
              <w:outlineLvl w:val="1"/>
              <w:rPr>
                <w:rFonts w:eastAsia="Times New Roman" w:cstheme="minorHAnsi"/>
              </w:rPr>
            </w:pPr>
            <w:r w:rsidRPr="006F029B">
              <w:rPr>
                <w:rFonts w:asciiTheme="minorHAnsi" w:eastAsia="Times New Roman" w:hAnsiTheme="minorHAnsi" w:cstheme="minorHAnsi"/>
                <w:sz w:val="22"/>
                <w:szCs w:val="22"/>
              </w:rPr>
              <w:t xml:space="preserve">The consultation was issued in November 2020, in the period when MHCLG was considering </w:t>
            </w:r>
            <w:r w:rsidR="00F46861">
              <w:rPr>
                <w:rFonts w:asciiTheme="minorHAnsi" w:eastAsia="Times New Roman" w:hAnsiTheme="minorHAnsi" w:cstheme="minorHAnsi"/>
                <w:sz w:val="22"/>
                <w:szCs w:val="22"/>
              </w:rPr>
              <w:t>its response</w:t>
            </w:r>
            <w:r w:rsidRPr="006F029B">
              <w:rPr>
                <w:rFonts w:asciiTheme="minorHAnsi" w:eastAsia="Times New Roman" w:hAnsiTheme="minorHAnsi" w:cstheme="minorHAnsi"/>
                <w:sz w:val="22"/>
                <w:szCs w:val="22"/>
              </w:rPr>
              <w:t xml:space="preserve"> to the recommendations in the Redmond review. Their policy response was published in December 2020, and further consultation proposals are anticipated in </w:t>
            </w:r>
            <w:r w:rsidR="006E2327">
              <w:rPr>
                <w:rFonts w:asciiTheme="minorHAnsi" w:eastAsia="Times New Roman" w:hAnsiTheme="minorHAnsi" w:cstheme="minorHAnsi"/>
                <w:sz w:val="22"/>
                <w:szCs w:val="22"/>
              </w:rPr>
              <w:t>S</w:t>
            </w:r>
            <w:r w:rsidRPr="006F029B">
              <w:rPr>
                <w:rFonts w:asciiTheme="minorHAnsi" w:eastAsia="Times New Roman" w:hAnsiTheme="minorHAnsi" w:cstheme="minorHAnsi"/>
                <w:sz w:val="22"/>
                <w:szCs w:val="22"/>
              </w:rPr>
              <w:t>pring 2021. PSAA is not in a position to speculate on potential changes to arrangements</w:t>
            </w:r>
            <w:r>
              <w:rPr>
                <w:rFonts w:asciiTheme="minorHAnsi" w:eastAsia="Times New Roman" w:hAnsiTheme="minorHAnsi" w:cstheme="minorHAnsi"/>
                <w:sz w:val="22"/>
                <w:szCs w:val="22"/>
              </w:rPr>
              <w:t xml:space="preserve"> </w:t>
            </w:r>
            <w:r w:rsidRPr="006F029B">
              <w:rPr>
                <w:rFonts w:asciiTheme="minorHAnsi" w:eastAsia="Times New Roman" w:hAnsiTheme="minorHAnsi" w:cstheme="minorHAnsi"/>
                <w:sz w:val="22"/>
                <w:szCs w:val="22"/>
              </w:rPr>
              <w:t xml:space="preserve">and is focusing on continuing to deliver its </w:t>
            </w:r>
            <w:r w:rsidR="00F46861">
              <w:rPr>
                <w:rFonts w:asciiTheme="minorHAnsi" w:eastAsia="Times New Roman" w:hAnsiTheme="minorHAnsi" w:cstheme="minorHAnsi"/>
                <w:sz w:val="22"/>
                <w:szCs w:val="22"/>
              </w:rPr>
              <w:t xml:space="preserve">current </w:t>
            </w:r>
            <w:r w:rsidRPr="006F029B">
              <w:rPr>
                <w:rFonts w:asciiTheme="minorHAnsi" w:eastAsia="Times New Roman" w:hAnsiTheme="minorHAnsi" w:cstheme="minorHAnsi"/>
                <w:sz w:val="22"/>
                <w:szCs w:val="22"/>
              </w:rPr>
              <w:t xml:space="preserve">statutory </w:t>
            </w:r>
            <w:r w:rsidR="00F46861" w:rsidRPr="006F029B">
              <w:rPr>
                <w:rFonts w:asciiTheme="minorHAnsi" w:eastAsia="Times New Roman" w:hAnsiTheme="minorHAnsi" w:cstheme="minorHAnsi"/>
                <w:sz w:val="22"/>
                <w:szCs w:val="22"/>
              </w:rPr>
              <w:t>responsibilities</w:t>
            </w:r>
            <w:r w:rsidR="00F46861">
              <w:rPr>
                <w:rFonts w:asciiTheme="minorHAnsi" w:eastAsia="Times New Roman" w:hAnsiTheme="minorHAnsi" w:cstheme="minorHAnsi"/>
                <w:sz w:val="22"/>
                <w:szCs w:val="22"/>
              </w:rPr>
              <w:t>.</w:t>
            </w:r>
          </w:p>
        </w:tc>
      </w:tr>
    </w:tbl>
    <w:p w14:paraId="256145E1" w14:textId="4E6B8D8F" w:rsidR="006D690C" w:rsidRDefault="006D690C">
      <w:pPr>
        <w:rPr>
          <w:rFonts w:ascii="Arial" w:hAnsi="Arial" w:cs="Arial"/>
        </w:rPr>
      </w:pPr>
    </w:p>
    <w:p w14:paraId="0F2297A5" w14:textId="3D204F9C" w:rsidR="00A86552" w:rsidRDefault="00A86552">
      <w:pPr>
        <w:rPr>
          <w:rFonts w:ascii="Arial" w:hAnsi="Arial" w:cs="Arial"/>
        </w:rPr>
      </w:pPr>
    </w:p>
    <w:sectPr w:rsidR="00A86552" w:rsidSect="006D690C">
      <w:pgSz w:w="16838" w:h="11906" w:orient="landscape" w:code="9"/>
      <w:pgMar w:top="1134" w:right="1134" w:bottom="567"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4E135" w14:textId="77777777" w:rsidR="00E97EAE" w:rsidRDefault="00E97EAE" w:rsidP="0085079D">
      <w:pPr>
        <w:spacing w:after="0" w:line="240" w:lineRule="auto"/>
      </w:pPr>
      <w:r>
        <w:separator/>
      </w:r>
    </w:p>
  </w:endnote>
  <w:endnote w:type="continuationSeparator" w:id="0">
    <w:p w14:paraId="0368E1EA" w14:textId="77777777" w:rsidR="00E97EAE" w:rsidRDefault="00E97EAE" w:rsidP="0085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E18B1" w14:textId="77777777" w:rsidR="00E97EAE" w:rsidRDefault="00E97EAE" w:rsidP="0085079D">
      <w:pPr>
        <w:spacing w:after="0" w:line="240" w:lineRule="auto"/>
      </w:pPr>
      <w:r>
        <w:separator/>
      </w:r>
    </w:p>
  </w:footnote>
  <w:footnote w:type="continuationSeparator" w:id="0">
    <w:p w14:paraId="0AE48F58" w14:textId="77777777" w:rsidR="00E97EAE" w:rsidRDefault="00E97EAE" w:rsidP="0085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20E55" w14:textId="74E3F2AA" w:rsidR="0085079D" w:rsidRPr="0085079D" w:rsidRDefault="0085079D">
    <w:pPr>
      <w:pStyle w:val="Header"/>
      <w:rPr>
        <w:rFonts w:ascii="Arial" w:hAnsi="Arial" w:cs="Arial"/>
        <w:b/>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3403"/>
    <w:multiLevelType w:val="hybridMultilevel"/>
    <w:tmpl w:val="2D7EAE7C"/>
    <w:lvl w:ilvl="0" w:tplc="B92C5506">
      <w:start w:val="1"/>
      <w:numFmt w:val="decimal"/>
      <w:lvlRestart w:val="0"/>
      <w:lvlText w:val="%1"/>
      <w:lvlJc w:val="left"/>
      <w:pPr>
        <w:tabs>
          <w:tab w:val="num" w:pos="454"/>
        </w:tabs>
        <w:ind w:left="0" w:firstLine="0"/>
      </w:pPr>
      <w:rPr>
        <w:rFonts w:hint="default"/>
        <w:b/>
        <w:i w:val="0"/>
        <w:color w:val="236995"/>
        <w:sz w:val="20"/>
        <w:szCs w:val="20"/>
      </w:r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F71284"/>
    <w:multiLevelType w:val="hybridMultilevel"/>
    <w:tmpl w:val="E5CED1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9020EE"/>
    <w:multiLevelType w:val="hybridMultilevel"/>
    <w:tmpl w:val="333A94A6"/>
    <w:lvl w:ilvl="0" w:tplc="09E610C6">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C45899"/>
    <w:multiLevelType w:val="hybridMultilevel"/>
    <w:tmpl w:val="99EC8C0E"/>
    <w:lvl w:ilvl="0" w:tplc="8D5ED30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5C10C3"/>
    <w:multiLevelType w:val="hybridMultilevel"/>
    <w:tmpl w:val="65A0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55BB5"/>
    <w:multiLevelType w:val="hybridMultilevel"/>
    <w:tmpl w:val="1354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952D3"/>
    <w:multiLevelType w:val="multilevel"/>
    <w:tmpl w:val="44F6E0D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41937540"/>
    <w:multiLevelType w:val="hybridMultilevel"/>
    <w:tmpl w:val="CE62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D0758"/>
    <w:multiLevelType w:val="multilevel"/>
    <w:tmpl w:val="FD068D6A"/>
    <w:lvl w:ilvl="0">
      <w:start w:val="1"/>
      <w:numFmt w:val="bullet"/>
      <w:lvlText w:val=""/>
      <w:lvlJc w:val="left"/>
      <w:pPr>
        <w:ind w:left="794" w:hanging="397"/>
      </w:pPr>
      <w:rPr>
        <w:rFonts w:ascii="Symbol" w:hAnsi="Symbol" w:hint="default"/>
        <w:b/>
        <w:i w:val="0"/>
        <w:caps w:val="0"/>
        <w:smallCaps w:val="0"/>
        <w:strike w:val="0"/>
        <w:dstrike w:val="0"/>
        <w:outline w:val="0"/>
        <w:emboss w:val="0"/>
        <w:imprint w:val="0"/>
        <w:color w:val="236995"/>
        <w:spacing w:val="0"/>
        <w:w w:val="100"/>
        <w:kern w:val="0"/>
        <w:position w:val="0"/>
        <w:sz w:val="20"/>
        <w:szCs w:val="20"/>
        <w:highlight w:val="none"/>
        <w:vertAlign w:val="baseline"/>
      </w:rPr>
    </w:lvl>
    <w:lvl w:ilvl="1">
      <w:start w:val="1"/>
      <w:numFmt w:val="decimal"/>
      <w:lvlText w:val="%2."/>
      <w:lvlJc w:val="left"/>
      <w:pPr>
        <w:ind w:left="1676" w:hanging="350"/>
      </w:pPr>
      <w:rPr>
        <w:rFonts w:hAnsi="Arial Unicode MS" w:hint="default"/>
        <w:caps w:val="0"/>
        <w:smallCaps w:val="0"/>
        <w:strike w:val="0"/>
        <w:dstrike w:val="0"/>
        <w:outline w:val="0"/>
        <w:emboss w:val="0"/>
        <w:imprint w:val="0"/>
        <w:color w:val="236995"/>
        <w:spacing w:val="0"/>
        <w:w w:val="100"/>
        <w:kern w:val="0"/>
        <w:position w:val="0"/>
        <w:sz w:val="20"/>
        <w:szCs w:val="20"/>
        <w:highlight w:val="none"/>
        <w:vertAlign w:val="baseline"/>
      </w:rPr>
    </w:lvl>
    <w:lvl w:ilvl="2">
      <w:start w:val="1"/>
      <w:numFmt w:val="lowerRoman"/>
      <w:lvlText w:val="%3."/>
      <w:lvlJc w:val="left"/>
      <w:pPr>
        <w:ind w:left="2557" w:hanging="302"/>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lvl w:ilvl="3">
      <w:start w:val="1"/>
      <w:numFmt w:val="decimal"/>
      <w:lvlText w:val="%4."/>
      <w:lvlJc w:val="left"/>
      <w:pPr>
        <w:ind w:left="3277" w:hanging="360"/>
      </w:pPr>
      <w:rPr>
        <w:rFonts w:hAnsi="Arial Unicode MS" w:hint="default"/>
        <w:caps w:val="0"/>
        <w:smallCaps w:val="0"/>
        <w:strike w:val="0"/>
        <w:dstrike w:val="0"/>
        <w:outline w:val="0"/>
        <w:emboss w:val="0"/>
        <w:imprint w:val="0"/>
        <w:color w:val="236995"/>
        <w:spacing w:val="0"/>
        <w:w w:val="100"/>
        <w:kern w:val="0"/>
        <w:position w:val="0"/>
        <w:sz w:val="20"/>
        <w:szCs w:val="20"/>
        <w:highlight w:val="none"/>
        <w:vertAlign w:val="baseline"/>
      </w:rPr>
    </w:lvl>
    <w:lvl w:ilvl="4">
      <w:start w:val="1"/>
      <w:numFmt w:val="lowerLetter"/>
      <w:lvlText w:val="%5."/>
      <w:lvlJc w:val="left"/>
      <w:pPr>
        <w:ind w:left="3997" w:hanging="360"/>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lvl w:ilvl="5">
      <w:start w:val="1"/>
      <w:numFmt w:val="lowerRoman"/>
      <w:lvlText w:val="%6."/>
      <w:lvlJc w:val="left"/>
      <w:pPr>
        <w:ind w:left="4717" w:hanging="302"/>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lvl w:ilvl="6">
      <w:start w:val="1"/>
      <w:numFmt w:val="decimal"/>
      <w:lvlText w:val="%7."/>
      <w:lvlJc w:val="left"/>
      <w:pPr>
        <w:ind w:left="5437" w:hanging="360"/>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lvl w:ilvl="7">
      <w:start w:val="1"/>
      <w:numFmt w:val="lowerLetter"/>
      <w:lvlText w:val="%8."/>
      <w:lvlJc w:val="left"/>
      <w:pPr>
        <w:ind w:left="6157" w:hanging="360"/>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lvl w:ilvl="8">
      <w:start w:val="1"/>
      <w:numFmt w:val="lowerRoman"/>
      <w:lvlText w:val="%9."/>
      <w:lvlJc w:val="left"/>
      <w:pPr>
        <w:ind w:left="6877" w:hanging="302"/>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abstractNum>
  <w:abstractNum w:abstractNumId="9" w15:restartNumberingAfterBreak="0">
    <w:nsid w:val="55FD18F5"/>
    <w:multiLevelType w:val="hybridMultilevel"/>
    <w:tmpl w:val="9A841F26"/>
    <w:lvl w:ilvl="0" w:tplc="7A7668B6">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627967"/>
    <w:multiLevelType w:val="multilevel"/>
    <w:tmpl w:val="0FD8416E"/>
    <w:lvl w:ilvl="0">
      <w:start w:val="1"/>
      <w:numFmt w:val="decimal"/>
      <w:lvlText w:val="%1"/>
      <w:lvlJc w:val="left"/>
      <w:pPr>
        <w:ind w:left="397" w:hanging="397"/>
      </w:pPr>
      <w:rPr>
        <w:rFonts w:hint="default"/>
        <w:b/>
        <w:i w:val="0"/>
        <w:caps w:val="0"/>
        <w:smallCaps w:val="0"/>
        <w:strike w:val="0"/>
        <w:dstrike w:val="0"/>
        <w:outline w:val="0"/>
        <w:emboss w:val="0"/>
        <w:imprint w:val="0"/>
        <w:color w:val="236995"/>
        <w:spacing w:val="0"/>
        <w:w w:val="100"/>
        <w:kern w:val="0"/>
        <w:position w:val="0"/>
        <w:sz w:val="20"/>
        <w:szCs w:val="20"/>
        <w:highlight w:val="none"/>
        <w:vertAlign w:val="baseline"/>
      </w:rPr>
    </w:lvl>
    <w:lvl w:ilvl="1">
      <w:start w:val="1"/>
      <w:numFmt w:val="decimal"/>
      <w:lvlText w:val="%2."/>
      <w:lvlJc w:val="left"/>
      <w:pPr>
        <w:ind w:left="1279" w:hanging="350"/>
      </w:pPr>
      <w:rPr>
        <w:rFonts w:hAnsi="Arial Unicode MS" w:hint="default"/>
        <w:caps w:val="0"/>
        <w:smallCaps w:val="0"/>
        <w:strike w:val="0"/>
        <w:dstrike w:val="0"/>
        <w:outline w:val="0"/>
        <w:emboss w:val="0"/>
        <w:imprint w:val="0"/>
        <w:color w:val="236995"/>
        <w:spacing w:val="0"/>
        <w:w w:val="100"/>
        <w:kern w:val="0"/>
        <w:position w:val="0"/>
        <w:sz w:val="20"/>
        <w:szCs w:val="20"/>
        <w:highlight w:val="none"/>
        <w:vertAlign w:val="baseline"/>
      </w:rPr>
    </w:lvl>
    <w:lvl w:ilvl="2">
      <w:start w:val="1"/>
      <w:numFmt w:val="lowerRoman"/>
      <w:lvlText w:val="%3."/>
      <w:lvlJc w:val="left"/>
      <w:pPr>
        <w:ind w:left="2160" w:hanging="302"/>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lvl w:ilvl="3">
      <w:start w:val="1"/>
      <w:numFmt w:val="decimal"/>
      <w:lvlText w:val="%4."/>
      <w:lvlJc w:val="left"/>
      <w:pPr>
        <w:ind w:left="2880" w:hanging="360"/>
      </w:pPr>
      <w:rPr>
        <w:rFonts w:hAnsi="Arial Unicode MS" w:hint="default"/>
        <w:caps w:val="0"/>
        <w:smallCaps w:val="0"/>
        <w:strike w:val="0"/>
        <w:dstrike w:val="0"/>
        <w:outline w:val="0"/>
        <w:emboss w:val="0"/>
        <w:imprint w:val="0"/>
        <w:color w:val="236995"/>
        <w:spacing w:val="0"/>
        <w:w w:val="100"/>
        <w:kern w:val="0"/>
        <w:position w:val="0"/>
        <w:sz w:val="20"/>
        <w:szCs w:val="20"/>
        <w:highlight w:val="none"/>
        <w:vertAlign w:val="baseline"/>
      </w:rPr>
    </w:lvl>
    <w:lvl w:ilvl="4">
      <w:start w:val="1"/>
      <w:numFmt w:val="lowerLetter"/>
      <w:lvlText w:val="%5."/>
      <w:lvlJc w:val="left"/>
      <w:pPr>
        <w:ind w:left="3600" w:hanging="360"/>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lvl w:ilvl="5">
      <w:start w:val="1"/>
      <w:numFmt w:val="lowerRoman"/>
      <w:lvlText w:val="%6."/>
      <w:lvlJc w:val="left"/>
      <w:pPr>
        <w:ind w:left="4320" w:hanging="302"/>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lvl w:ilvl="6">
      <w:start w:val="1"/>
      <w:numFmt w:val="decimal"/>
      <w:lvlText w:val="%7."/>
      <w:lvlJc w:val="left"/>
      <w:pPr>
        <w:ind w:left="5040" w:hanging="360"/>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lvl w:ilvl="7">
      <w:start w:val="1"/>
      <w:numFmt w:val="lowerLetter"/>
      <w:lvlText w:val="%8."/>
      <w:lvlJc w:val="left"/>
      <w:pPr>
        <w:ind w:left="5760" w:hanging="360"/>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lvl w:ilvl="8">
      <w:start w:val="1"/>
      <w:numFmt w:val="lowerRoman"/>
      <w:lvlText w:val="%9."/>
      <w:lvlJc w:val="left"/>
      <w:pPr>
        <w:ind w:left="6480" w:hanging="302"/>
      </w:pPr>
      <w:rPr>
        <w:rFonts w:hAnsi="Arial Unicode MS" w:hint="default"/>
        <w:caps w:val="0"/>
        <w:smallCaps w:val="0"/>
        <w:strike w:val="0"/>
        <w:dstrike w:val="0"/>
        <w:outline w:val="0"/>
        <w:emboss w:val="0"/>
        <w:imprint w:val="0"/>
        <w:color w:val="236995"/>
        <w:spacing w:val="0"/>
        <w:w w:val="100"/>
        <w:kern w:val="0"/>
        <w:position w:val="0"/>
        <w:highlight w:val="none"/>
        <w:vertAlign w:val="baseline"/>
      </w:rPr>
    </w:lvl>
  </w:abstractNum>
  <w:abstractNum w:abstractNumId="11" w15:restartNumberingAfterBreak="0">
    <w:nsid w:val="5ECD2B12"/>
    <w:multiLevelType w:val="hybridMultilevel"/>
    <w:tmpl w:val="0A3E3298"/>
    <w:lvl w:ilvl="0" w:tplc="AC20EE40">
      <w:start w:val="1"/>
      <w:numFmt w:val="bullet"/>
      <w:lvlText w:val=""/>
      <w:lvlJc w:val="left"/>
      <w:pPr>
        <w:ind w:left="360" w:hanging="360"/>
      </w:pPr>
      <w:rPr>
        <w:rFonts w:ascii="Symbol" w:hAnsi="Symbol" w:hint="default"/>
        <w:color w:val="auto"/>
        <w:u w:val="none"/>
      </w:rPr>
    </w:lvl>
    <w:lvl w:ilvl="1" w:tplc="7AB25F1A">
      <w:start w:val="1"/>
      <w:numFmt w:val="bullet"/>
      <w:lvlText w:val="◦"/>
      <w:lvlJc w:val="left"/>
      <w:pPr>
        <w:ind w:left="720" w:hanging="360"/>
      </w:pPr>
      <w:rPr>
        <w:rFonts w:ascii="Verdana" w:hAnsi="Verdana" w:hint="default"/>
        <w:sz w:val="24"/>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6BB725A7"/>
    <w:multiLevelType w:val="hybridMultilevel"/>
    <w:tmpl w:val="4E6854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0A577E"/>
    <w:multiLevelType w:val="hybridMultilevel"/>
    <w:tmpl w:val="7264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A38A1"/>
    <w:multiLevelType w:val="hybridMultilevel"/>
    <w:tmpl w:val="5C2C9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47282E"/>
    <w:multiLevelType w:val="multilevel"/>
    <w:tmpl w:val="5874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3094D"/>
    <w:multiLevelType w:val="hybridMultilevel"/>
    <w:tmpl w:val="DC4CD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A66ACC"/>
    <w:multiLevelType w:val="hybridMultilevel"/>
    <w:tmpl w:val="77DA515C"/>
    <w:lvl w:ilvl="0" w:tplc="1FB26B64">
      <w:start w:val="1"/>
      <w:numFmt w:val="decimal"/>
      <w:lvlText w:val="%1"/>
      <w:lvlJc w:val="left"/>
      <w:pPr>
        <w:ind w:left="360" w:hanging="360"/>
      </w:pPr>
      <w:rPr>
        <w:rFonts w:hint="default"/>
        <w:color w:val="23699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6"/>
  </w:num>
  <w:num w:numId="3">
    <w:abstractNumId w:val="10"/>
  </w:num>
  <w:num w:numId="4">
    <w:abstractNumId w:val="7"/>
  </w:num>
  <w:num w:numId="5">
    <w:abstractNumId w:val="2"/>
  </w:num>
  <w:num w:numId="6">
    <w:abstractNumId w:val="15"/>
  </w:num>
  <w:num w:numId="7">
    <w:abstractNumId w:val="0"/>
  </w:num>
  <w:num w:numId="8">
    <w:abstractNumId w:val="11"/>
  </w:num>
  <w:num w:numId="9">
    <w:abstractNumId w:val="8"/>
  </w:num>
  <w:num w:numId="10">
    <w:abstractNumId w:val="1"/>
  </w:num>
  <w:num w:numId="11">
    <w:abstractNumId w:val="5"/>
  </w:num>
  <w:num w:numId="12">
    <w:abstractNumId w:val="4"/>
  </w:num>
  <w:num w:numId="13">
    <w:abstractNumId w:val="9"/>
  </w:num>
  <w:num w:numId="14">
    <w:abstractNumId w:val="14"/>
  </w:num>
  <w:num w:numId="15">
    <w:abstractNumId w:val="12"/>
  </w:num>
  <w:num w:numId="16">
    <w:abstractNumId w:val="17"/>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8D"/>
    <w:rsid w:val="00011C61"/>
    <w:rsid w:val="000240DB"/>
    <w:rsid w:val="000369C4"/>
    <w:rsid w:val="00053AE6"/>
    <w:rsid w:val="00060EC5"/>
    <w:rsid w:val="000939A2"/>
    <w:rsid w:val="00096B8C"/>
    <w:rsid w:val="000A3540"/>
    <w:rsid w:val="000A5657"/>
    <w:rsid w:val="000E07EA"/>
    <w:rsid w:val="000E3092"/>
    <w:rsid w:val="00110A20"/>
    <w:rsid w:val="00150322"/>
    <w:rsid w:val="001862BB"/>
    <w:rsid w:val="001B36CE"/>
    <w:rsid w:val="001B4B56"/>
    <w:rsid w:val="001C2FB3"/>
    <w:rsid w:val="001C5013"/>
    <w:rsid w:val="001E785A"/>
    <w:rsid w:val="001F7AE0"/>
    <w:rsid w:val="002002CD"/>
    <w:rsid w:val="002038AE"/>
    <w:rsid w:val="002111B1"/>
    <w:rsid w:val="002460EB"/>
    <w:rsid w:val="002502F3"/>
    <w:rsid w:val="00287AE1"/>
    <w:rsid w:val="00291576"/>
    <w:rsid w:val="002A60BB"/>
    <w:rsid w:val="002B31D9"/>
    <w:rsid w:val="002C5E2F"/>
    <w:rsid w:val="003023DF"/>
    <w:rsid w:val="00313338"/>
    <w:rsid w:val="00344F20"/>
    <w:rsid w:val="00361C3C"/>
    <w:rsid w:val="0036319F"/>
    <w:rsid w:val="003753BF"/>
    <w:rsid w:val="00383AEC"/>
    <w:rsid w:val="00384B12"/>
    <w:rsid w:val="00385941"/>
    <w:rsid w:val="003939FA"/>
    <w:rsid w:val="003A2FEC"/>
    <w:rsid w:val="003D6A93"/>
    <w:rsid w:val="003F41E6"/>
    <w:rsid w:val="00406AB1"/>
    <w:rsid w:val="004322A0"/>
    <w:rsid w:val="00443474"/>
    <w:rsid w:val="00450598"/>
    <w:rsid w:val="004527A4"/>
    <w:rsid w:val="00465E98"/>
    <w:rsid w:val="00466BC3"/>
    <w:rsid w:val="00472D59"/>
    <w:rsid w:val="00482102"/>
    <w:rsid w:val="00482D9D"/>
    <w:rsid w:val="004B3E20"/>
    <w:rsid w:val="004E480B"/>
    <w:rsid w:val="00500B5B"/>
    <w:rsid w:val="005021CD"/>
    <w:rsid w:val="00514146"/>
    <w:rsid w:val="00523B4E"/>
    <w:rsid w:val="00531290"/>
    <w:rsid w:val="00531FDF"/>
    <w:rsid w:val="005706AC"/>
    <w:rsid w:val="00586846"/>
    <w:rsid w:val="00596B4F"/>
    <w:rsid w:val="005C6331"/>
    <w:rsid w:val="005E35FB"/>
    <w:rsid w:val="0060021E"/>
    <w:rsid w:val="00617718"/>
    <w:rsid w:val="00637420"/>
    <w:rsid w:val="006413A4"/>
    <w:rsid w:val="00690494"/>
    <w:rsid w:val="006A6E32"/>
    <w:rsid w:val="006B3CDC"/>
    <w:rsid w:val="006D690C"/>
    <w:rsid w:val="006E2327"/>
    <w:rsid w:val="006F029B"/>
    <w:rsid w:val="006F63BE"/>
    <w:rsid w:val="006F7232"/>
    <w:rsid w:val="0074614B"/>
    <w:rsid w:val="007658E2"/>
    <w:rsid w:val="007811DB"/>
    <w:rsid w:val="007A68FA"/>
    <w:rsid w:val="007D452B"/>
    <w:rsid w:val="007E45EA"/>
    <w:rsid w:val="008150D4"/>
    <w:rsid w:val="0081794A"/>
    <w:rsid w:val="00827C33"/>
    <w:rsid w:val="008404C9"/>
    <w:rsid w:val="0085079D"/>
    <w:rsid w:val="008558B6"/>
    <w:rsid w:val="00863503"/>
    <w:rsid w:val="008817AF"/>
    <w:rsid w:val="00891AE9"/>
    <w:rsid w:val="008A19AA"/>
    <w:rsid w:val="008A49C9"/>
    <w:rsid w:val="008B7F6B"/>
    <w:rsid w:val="008F02AE"/>
    <w:rsid w:val="008F2F2E"/>
    <w:rsid w:val="00905D64"/>
    <w:rsid w:val="009229F6"/>
    <w:rsid w:val="00957055"/>
    <w:rsid w:val="00962B7B"/>
    <w:rsid w:val="00972CB2"/>
    <w:rsid w:val="009B3F8E"/>
    <w:rsid w:val="009D5A66"/>
    <w:rsid w:val="009F4127"/>
    <w:rsid w:val="00A14F6A"/>
    <w:rsid w:val="00A15A7B"/>
    <w:rsid w:val="00A531F3"/>
    <w:rsid w:val="00A54B22"/>
    <w:rsid w:val="00A71C37"/>
    <w:rsid w:val="00A76982"/>
    <w:rsid w:val="00A85B8C"/>
    <w:rsid w:val="00A86552"/>
    <w:rsid w:val="00A90922"/>
    <w:rsid w:val="00A94126"/>
    <w:rsid w:val="00AA1208"/>
    <w:rsid w:val="00AC7849"/>
    <w:rsid w:val="00AD3AB0"/>
    <w:rsid w:val="00AE02C4"/>
    <w:rsid w:val="00AE33D9"/>
    <w:rsid w:val="00B621EE"/>
    <w:rsid w:val="00B73249"/>
    <w:rsid w:val="00B80EFB"/>
    <w:rsid w:val="00BC04F3"/>
    <w:rsid w:val="00C10222"/>
    <w:rsid w:val="00C176C2"/>
    <w:rsid w:val="00C267C8"/>
    <w:rsid w:val="00C27061"/>
    <w:rsid w:val="00C53E1A"/>
    <w:rsid w:val="00C54031"/>
    <w:rsid w:val="00C72F08"/>
    <w:rsid w:val="00C75A9C"/>
    <w:rsid w:val="00CA30FC"/>
    <w:rsid w:val="00CC313E"/>
    <w:rsid w:val="00D258A8"/>
    <w:rsid w:val="00D34F82"/>
    <w:rsid w:val="00D41DD0"/>
    <w:rsid w:val="00D439BD"/>
    <w:rsid w:val="00D45B4D"/>
    <w:rsid w:val="00D574E3"/>
    <w:rsid w:val="00D801A9"/>
    <w:rsid w:val="00DA6C8D"/>
    <w:rsid w:val="00DA7CA8"/>
    <w:rsid w:val="00DD28DF"/>
    <w:rsid w:val="00DD3B38"/>
    <w:rsid w:val="00DE2CD7"/>
    <w:rsid w:val="00E03862"/>
    <w:rsid w:val="00E13657"/>
    <w:rsid w:val="00E14197"/>
    <w:rsid w:val="00E222D0"/>
    <w:rsid w:val="00E34983"/>
    <w:rsid w:val="00E6252B"/>
    <w:rsid w:val="00E702BF"/>
    <w:rsid w:val="00E82203"/>
    <w:rsid w:val="00E96587"/>
    <w:rsid w:val="00E97EAE"/>
    <w:rsid w:val="00EB6F0E"/>
    <w:rsid w:val="00F23367"/>
    <w:rsid w:val="00F36E10"/>
    <w:rsid w:val="00F40C83"/>
    <w:rsid w:val="00F46861"/>
    <w:rsid w:val="00F531B7"/>
    <w:rsid w:val="00F636B7"/>
    <w:rsid w:val="00F8043B"/>
    <w:rsid w:val="00F93655"/>
    <w:rsid w:val="00FA069F"/>
    <w:rsid w:val="00FC015B"/>
    <w:rsid w:val="00FD373F"/>
    <w:rsid w:val="00FD4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086B"/>
  <w15:chartTrackingRefBased/>
  <w15:docId w15:val="{A2110F9D-C408-41D2-B03C-329EF3C1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link w:val="BodytextnumberedChar"/>
    <w:rsid w:val="00A531F3"/>
    <w:pPr>
      <w:pBdr>
        <w:top w:val="nil"/>
        <w:left w:val="nil"/>
        <w:bottom w:val="nil"/>
        <w:right w:val="nil"/>
        <w:between w:val="nil"/>
        <w:bar w:val="nil"/>
      </w:pBdr>
      <w:tabs>
        <w:tab w:val="left" w:pos="397"/>
      </w:tabs>
      <w:spacing w:before="140" w:after="0" w:line="300" w:lineRule="atLeast"/>
    </w:pPr>
    <w:rPr>
      <w:rFonts w:ascii="Arial" w:eastAsia="Arial Unicode MS" w:hAnsi="Arial" w:cs="Arial Unicode MS"/>
      <w:color w:val="000000"/>
      <w:u w:color="000000"/>
      <w:bdr w:val="nil"/>
      <w:lang w:val="en-US" w:eastAsia="en-GB"/>
    </w:rPr>
  </w:style>
  <w:style w:type="character" w:customStyle="1" w:styleId="BodytextnumberedChar">
    <w:name w:val="Body text (numbered) Char"/>
    <w:basedOn w:val="DefaultParagraphFont"/>
    <w:link w:val="Bodytextnumbered"/>
    <w:rsid w:val="00A531F3"/>
    <w:rPr>
      <w:rFonts w:ascii="Arial" w:eastAsia="Arial Unicode MS" w:hAnsi="Arial" w:cs="Arial Unicode MS"/>
      <w:color w:val="000000"/>
      <w:u w:color="000000"/>
      <w:bdr w:val="nil"/>
      <w:lang w:val="en-US" w:eastAsia="en-GB"/>
    </w:rPr>
  </w:style>
  <w:style w:type="paragraph" w:styleId="ListParagraph">
    <w:name w:val="List Paragraph"/>
    <w:basedOn w:val="Normal"/>
    <w:uiPriority w:val="34"/>
    <w:qFormat/>
    <w:rsid w:val="001C5013"/>
    <w:pPr>
      <w:ind w:left="720"/>
      <w:contextualSpacing/>
    </w:pPr>
  </w:style>
  <w:style w:type="paragraph" w:styleId="BalloonText">
    <w:name w:val="Balloon Text"/>
    <w:basedOn w:val="Normal"/>
    <w:link w:val="BalloonTextChar"/>
    <w:uiPriority w:val="99"/>
    <w:semiHidden/>
    <w:unhideWhenUsed/>
    <w:rsid w:val="00B73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249"/>
    <w:rPr>
      <w:rFonts w:ascii="Segoe UI" w:hAnsi="Segoe UI" w:cs="Segoe UI"/>
      <w:sz w:val="18"/>
      <w:szCs w:val="18"/>
    </w:rPr>
  </w:style>
  <w:style w:type="table" w:styleId="TableGrid">
    <w:name w:val="Table Grid"/>
    <w:aliases w:val="Trinity Table 1"/>
    <w:basedOn w:val="TableNormal"/>
    <w:rsid w:val="005706A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basedOn w:val="Normal"/>
    <w:next w:val="Normal"/>
    <w:rsid w:val="00F36E10"/>
    <w:pPr>
      <w:keepLines/>
      <w:spacing w:before="200" w:after="0" w:line="240" w:lineRule="auto"/>
      <w:ind w:left="567"/>
    </w:pPr>
    <w:rPr>
      <w:rFonts w:ascii="Arial" w:eastAsia="Times New Roman" w:hAnsi="Arial" w:cs="Times New Roman"/>
      <w:i/>
      <w:sz w:val="24"/>
      <w:szCs w:val="24"/>
      <w:lang w:eastAsia="en-GB"/>
    </w:rPr>
  </w:style>
  <w:style w:type="character" w:styleId="Hyperlink">
    <w:name w:val="Hyperlink"/>
    <w:basedOn w:val="DefaultParagraphFont"/>
    <w:uiPriority w:val="99"/>
    <w:unhideWhenUsed/>
    <w:rsid w:val="004322A0"/>
    <w:rPr>
      <w:color w:val="0563C1" w:themeColor="hyperlink"/>
      <w:u w:val="single"/>
    </w:rPr>
  </w:style>
  <w:style w:type="character" w:styleId="UnresolvedMention">
    <w:name w:val="Unresolved Mention"/>
    <w:basedOn w:val="DefaultParagraphFont"/>
    <w:uiPriority w:val="99"/>
    <w:semiHidden/>
    <w:unhideWhenUsed/>
    <w:rsid w:val="004322A0"/>
    <w:rPr>
      <w:color w:val="605E5C"/>
      <w:shd w:val="clear" w:color="auto" w:fill="E1DFDD"/>
    </w:rPr>
  </w:style>
  <w:style w:type="paragraph" w:styleId="Header">
    <w:name w:val="header"/>
    <w:basedOn w:val="Normal"/>
    <w:link w:val="HeaderChar"/>
    <w:uiPriority w:val="99"/>
    <w:unhideWhenUsed/>
    <w:rsid w:val="00850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79D"/>
  </w:style>
  <w:style w:type="paragraph" w:styleId="Footer">
    <w:name w:val="footer"/>
    <w:basedOn w:val="Normal"/>
    <w:link w:val="FooterChar"/>
    <w:uiPriority w:val="99"/>
    <w:unhideWhenUsed/>
    <w:rsid w:val="00850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40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local-authority-financial-reporting-and-external-audit-government-response-to-the-redmond-review/local-authority-financial-reporting-and-external-audit-government-response-to-the-independent-r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saa.co.uk/wp-content/uploads/2020/08/Fee-Variation-Process-Note.pdf"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8E96-1C57-4E0F-AB1B-827D5D69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Reid</dc:creator>
  <cp:keywords/>
  <dc:description/>
  <cp:lastModifiedBy>Julie Schofield</cp:lastModifiedBy>
  <cp:revision>2</cp:revision>
  <dcterms:created xsi:type="dcterms:W3CDTF">2021-01-29T18:11:00Z</dcterms:created>
  <dcterms:modified xsi:type="dcterms:W3CDTF">2021-01-29T18:11:00Z</dcterms:modified>
</cp:coreProperties>
</file>